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31" w:rsidRPr="004A5EEE" w:rsidRDefault="00BF4C42">
      <w:pPr>
        <w:jc w:val="center"/>
        <w:rPr>
          <w:rFonts w:ascii="Times New Roman" w:eastAsia="方正小标宋_GBK" w:hAnsi="Times New Roman"/>
          <w:sz w:val="48"/>
          <w:szCs w:val="48"/>
        </w:rPr>
      </w:pPr>
      <w:r w:rsidRPr="004A5EEE">
        <w:rPr>
          <w:rFonts w:ascii="Times New Roman" w:eastAsia="方正小标宋_GBK" w:hAnsi="方正小标宋_GBK" w:cs="方正小标宋_GBK" w:hint="eastAsia"/>
          <w:sz w:val="48"/>
          <w:szCs w:val="48"/>
        </w:rPr>
        <w:t>曲靖市提升城市绿化品质</w:t>
      </w:r>
      <w:r w:rsidRPr="004A5EEE">
        <w:rPr>
          <w:rFonts w:ascii="Times New Roman" w:eastAsia="方正小标宋_GBK" w:hAnsi="方正小标宋_GBK" w:cs="方正小标宋_GBK" w:hint="eastAsia"/>
          <w:sz w:val="48"/>
          <w:szCs w:val="48"/>
        </w:rPr>
        <w:t>实施</w:t>
      </w:r>
      <w:r w:rsidRPr="004A5EEE">
        <w:rPr>
          <w:rFonts w:ascii="Times New Roman" w:eastAsia="方正小标宋_GBK" w:hAnsi="方正小标宋_GBK" w:cs="方正小标宋_GBK" w:hint="eastAsia"/>
          <w:sz w:val="48"/>
          <w:szCs w:val="48"/>
        </w:rPr>
        <w:t>方案</w:t>
      </w:r>
    </w:p>
    <w:p w:rsidR="00D77031" w:rsidRPr="004A5EEE" w:rsidRDefault="00BF4C42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根据《曲靖市进一步提升城乡人居环境五年行动计划（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2016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—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2020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年）》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(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曲办发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〔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2016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〕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76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号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)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要求，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制定本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实施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方案。</w:t>
      </w:r>
    </w:p>
    <w:p w:rsidR="00D77031" w:rsidRPr="004A5EEE" w:rsidRDefault="00BF4C42" w:rsidP="004D49A1">
      <w:pPr>
        <w:spacing w:line="560" w:lineRule="exact"/>
        <w:ind w:firstLineChars="200" w:firstLine="640"/>
        <w:jc w:val="left"/>
        <w:rPr>
          <w:rFonts w:ascii="Times New Roman" w:eastAsia="方正黑体_GBK" w:hAnsi="Times New Roman" w:cs="方正黑体_GBK"/>
          <w:sz w:val="32"/>
          <w:szCs w:val="32"/>
        </w:rPr>
      </w:pPr>
      <w:r w:rsidRPr="004A5EEE">
        <w:rPr>
          <w:rFonts w:ascii="Times New Roman" w:eastAsia="方正黑体_GBK" w:hAnsi="方正黑体_GBK" w:cs="方正黑体_GBK" w:hint="eastAsia"/>
          <w:sz w:val="32"/>
          <w:szCs w:val="32"/>
        </w:rPr>
        <w:t>一、</w:t>
      </w:r>
      <w:r w:rsidRPr="004A5EEE">
        <w:rPr>
          <w:rFonts w:ascii="Times New Roman" w:eastAsia="方正黑体_GBK" w:hAnsi="方正黑体_GBK" w:cs="方正黑体_GBK" w:hint="eastAsia"/>
          <w:sz w:val="32"/>
          <w:szCs w:val="32"/>
        </w:rPr>
        <w:t>工作要求</w:t>
      </w:r>
    </w:p>
    <w:p w:rsidR="00D77031" w:rsidRPr="004A5EEE" w:rsidRDefault="00BF4C42" w:rsidP="004D49A1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积极推进提升城市绿化品质工作。城市园林绿化是重要的公益事业，是涉及生态、土壤、植物、城市规划、建筑等多个专业的系统工程，不能简单等同于植树造林，进行粗放式建设和管理。各县（市、区）、曲靖经济技术开发区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按照生态优先、科学发展的原则，树立尊重自然、顺应自然、保护自然的生态文明理念，切实增加城市绿化面积。</w:t>
      </w:r>
    </w:p>
    <w:p w:rsidR="00D77031" w:rsidRPr="004A5EEE" w:rsidRDefault="00BF4C42" w:rsidP="004D49A1">
      <w:pPr>
        <w:spacing w:line="560" w:lineRule="exact"/>
        <w:ind w:firstLineChars="200" w:firstLine="640"/>
        <w:jc w:val="left"/>
        <w:rPr>
          <w:rFonts w:ascii="Times New Roman" w:eastAsia="方正黑体_GBK" w:hAnsi="Times New Roman" w:cs="方正黑体_GBK"/>
          <w:sz w:val="32"/>
          <w:szCs w:val="32"/>
        </w:rPr>
      </w:pPr>
      <w:r w:rsidRPr="004A5EEE">
        <w:rPr>
          <w:rFonts w:ascii="Times New Roman" w:eastAsia="方正黑体_GBK" w:hAnsi="方正黑体_GBK" w:cs="方正黑体_GBK" w:hint="eastAsia"/>
          <w:sz w:val="32"/>
          <w:szCs w:val="32"/>
        </w:rPr>
        <w:t>二、工作目标</w:t>
      </w:r>
    </w:p>
    <w:p w:rsidR="00D77031" w:rsidRPr="004A5EEE" w:rsidRDefault="00BF4C42" w:rsidP="004D49A1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因地制宜充分利用城市空间开展增绿、建绿工程，加强面山绿化，推广立体绿化，广泛种植适应当地气候条件的树种，提升园林绿化品质和景观水平，保护好城市的山、水、林、田、湿地等生态细胞，大幅增加城市绿地面积，提高建成区绿地率、绿视率、绿化覆盖率和人均公园绿地面积，形成点线面均衡布局的城市绿地系统。按照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统一规划、统筹实施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的原则，在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十三五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期间，开展康桥河、白石江、潇湘江、南盘江清洁净化工程，在河流沿线布局建设条带绿化景观及文化景观；在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麒沾马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范围内新建沾益航空历史文化公园（机场公园）、马龙县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沈家山公园、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麒麟区（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南片区防洪调节库）湖景生态公园、白石江潇湘江交汇处双江公园等。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按照《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2015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年城市（县城）建设统计年鉴》，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2016-2020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年城市和县城建成区绿地率、人均公园绿地面积逐年增长，建成区绿地率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32%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的城市（县城）每年以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 xml:space="preserve"> 0.5%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的幅度增长，建成区绿地率＜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32%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的城市（县城）每年以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0.7%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的幅度增长；人均公园绿地面积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9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㎡的城市（县城）每年以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0.1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㎡的幅度增长，人均公园绿地面积＜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9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㎡的城市（县城）每年以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≥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0.3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㎡的幅度增长。到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2020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年，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曲靖珠江源大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城市建成区绿地率达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35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％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，绿化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覆盖率达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40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％，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森林覆盖率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45%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，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人均公园绿地面积达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平方米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，其他城市（县城）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建成区绿地率达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35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％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，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绿化覆盖率达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40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％，人均公园绿地面积达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平方米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；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设市城市对照国家《城市园林绿化评价标准》完成等级评定工作，达到国家Ⅱ级标准，已取得国家园林城市的达到国家Ⅰ级标准；全市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91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个乡镇中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1/3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以上创建成为省级或省级以上园林城镇，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1262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个建制村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70%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以上创建为市（县）级绿色村庄。</w:t>
      </w:r>
    </w:p>
    <w:p w:rsidR="00D77031" w:rsidRPr="004A5EEE" w:rsidRDefault="00BF4C42" w:rsidP="004D49A1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（一）</w:t>
      </w:r>
      <w:r w:rsidRPr="004A5EEE">
        <w:rPr>
          <w:rFonts w:ascii="Times New Roman" w:eastAsia="方正楷体_GBK" w:hAnsi="Times New Roman" w:cs="方正楷体_GBK" w:hint="eastAsia"/>
          <w:sz w:val="32"/>
          <w:szCs w:val="32"/>
        </w:rPr>
        <w:t>2016</w:t>
      </w: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年度。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全市城市（县城）完成绿地系统规划编制或修编；曲靖市申报创建国家森林城市；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马龙县、师宗县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做好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国家园林县城申报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及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迎接省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住房和城乡建设厅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专家组初审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准备工作；陆良县争取成功创建省级园林县城；罗平县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鲁布革布衣族苗族乡、板桥镇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、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师宗县五龙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壮族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乡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力争创建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省级园林城镇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各县（市、区）、曲靖经济技术开发区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按照《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2015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年城市（县城）建设统计年鉴》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制定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每年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增绿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任务计划。沾益区玉林公园扩建年底前要启动建设；马龙县龙湖公园年底前要启动建设；寥廓公园拓展提升改造年底前要完成规划编制，并启动建设；金麟湾后山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lastRenderedPageBreak/>
        <w:t>公园提升改造年底前完成规划设计等前期工作，并启动建设。</w:t>
      </w:r>
    </w:p>
    <w:p w:rsidR="00D77031" w:rsidRPr="004A5EEE" w:rsidRDefault="00BF4C42" w:rsidP="004D49A1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（二）</w:t>
      </w:r>
      <w:r w:rsidRPr="004A5EEE">
        <w:rPr>
          <w:rFonts w:ascii="Times New Roman" w:eastAsia="方正楷体_GBK" w:hAnsi="Times New Roman" w:cs="方正楷体_GBK" w:hint="eastAsia"/>
          <w:sz w:val="32"/>
          <w:szCs w:val="32"/>
        </w:rPr>
        <w:t>2017</w:t>
      </w: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年度。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马龙县、师宗县创建国家园林县城，做好迎接住房和城乡建设部国家园林县城考评准备工作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；宣威市、会泽县、富源县力争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2017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年成功创建国家园林城市（县城），确保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2019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年成功创建国家园林（县城）；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曲靖市中心城区、罗平县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向创建国家生态园林城市（县城）的目标努力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。沾益区要按照国家园林城市的标准来改造提升城市人居环境，马龙县在撤县设区之前按照国家园林县城标准申报创建，在撤县设区之后按照国家园林城市的标准来改造提升城市人居环境，为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麒沾马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同城化奠定基础，确保曲靖市迎接国家园林城市复查顺利过关。结合国际高原体育城建设，西河公园以及环湖道路、绿道、骑道建设年底前完成。</w:t>
      </w:r>
    </w:p>
    <w:p w:rsidR="00D77031" w:rsidRPr="004A5EEE" w:rsidRDefault="00BF4C42" w:rsidP="004D49A1">
      <w:pPr>
        <w:spacing w:line="560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（三）</w:t>
      </w:r>
      <w:r w:rsidRPr="004A5EEE">
        <w:rPr>
          <w:rFonts w:ascii="Times New Roman" w:eastAsia="方正楷体_GBK" w:hAnsi="Times New Roman" w:cs="方正楷体_GBK" w:hint="eastAsia"/>
          <w:sz w:val="32"/>
          <w:szCs w:val="32"/>
        </w:rPr>
        <w:t>2018</w:t>
      </w: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年度。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宣威市、会泽县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、富源县、陆良县做好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国家园林城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市（县城）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申报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及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迎接省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住房和城乡建设厅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专家组初审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准备工作，城市（县城）建成区绿地率达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33%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、绿化覆盖率达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38%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，人均公园绿地面积达</w:t>
      </w: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>9.7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平方米。完成沾益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玉林公园扩建、金麟湾后山公园提升改造。</w:t>
      </w:r>
    </w:p>
    <w:p w:rsidR="00D77031" w:rsidRPr="004A5EEE" w:rsidRDefault="00BF4C42" w:rsidP="004D49A1">
      <w:pPr>
        <w:spacing w:line="560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（四）</w:t>
      </w:r>
      <w:r w:rsidRPr="004A5EEE">
        <w:rPr>
          <w:rFonts w:ascii="Times New Roman" w:eastAsia="方正楷体_GBK" w:hAnsi="Times New Roman" w:cs="方正楷体_GBK" w:hint="eastAsia"/>
          <w:sz w:val="32"/>
          <w:szCs w:val="32"/>
        </w:rPr>
        <w:t>2019</w:t>
      </w: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年度。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宣威市、会泽县、富源县、陆良县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创建国家园林城市（县城），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做好迎接住房和城乡建设部国家园林城市（县城）考评准备工作。力争全市城市（县城）全部创建为国家园林城市（县城）。</w:t>
      </w:r>
    </w:p>
    <w:p w:rsidR="00D77031" w:rsidRPr="004A5EEE" w:rsidRDefault="004A5EEE" w:rsidP="004D49A1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（五）</w:t>
      </w:r>
      <w:r w:rsidR="00BF4C42" w:rsidRPr="004A5EEE">
        <w:rPr>
          <w:rFonts w:ascii="Times New Roman" w:eastAsia="方正楷体_GBK" w:hAnsi="Times New Roman" w:cs="方正楷体_GBK" w:hint="eastAsia"/>
          <w:sz w:val="32"/>
          <w:szCs w:val="32"/>
        </w:rPr>
        <w:t>2020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年度。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到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2020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年，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力争曲靖市创建成为国家森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lastRenderedPageBreak/>
        <w:t>林城市，中心城区、罗平县力争创建成为国家生态园林城市（县城），全市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91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个乡镇中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1/3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以上创建成为省级或省级以上园林城镇，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1262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个建制村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70%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以上创建为市（县）级绿色村庄。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曲靖珠江源大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城市建成区绿地率达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35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％、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绿化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覆盖率达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40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％，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森林覆盖率达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45%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人均公园绿地面积达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平方米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，其他城市（县城）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建成区绿地率达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35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％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绿化覆盖率达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40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％，人均公园绿地面积达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平方米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完成马龙县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龙湖公园建设、寥廓公园拓展提升改造。</w:t>
      </w:r>
    </w:p>
    <w:p w:rsidR="00D77031" w:rsidRPr="004A5EEE" w:rsidRDefault="00BF4C42" w:rsidP="004A5EE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黑体_GBK" w:hAnsi="方正黑体_GBK" w:cs="方正黑体_GBK" w:hint="eastAsia"/>
          <w:sz w:val="32"/>
          <w:szCs w:val="32"/>
        </w:rPr>
        <w:t>三、工作重点</w:t>
      </w:r>
    </w:p>
    <w:p w:rsidR="00D77031" w:rsidRPr="004A5EEE" w:rsidRDefault="004A5EEE" w:rsidP="004A5EE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（一）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突出规划，科学建绿。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全市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城市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（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县城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）在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2016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年底前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完成绿地系统规划编制或修订，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严格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实施绿线管制制度。绿地系统规划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根据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当地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自然条件和历史文化特征，合理设置各类绿地及园林绿化设施，采取点、线、面、环等多种形式，进行科学布局。批准后的绿地系统规划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及时向社会公布，绿地系统规划确定的各类绿地实行绿线管制，绿线划定后及时在政府网站等主要媒体上公布，接受公众监督。</w:t>
      </w:r>
    </w:p>
    <w:p w:rsidR="00D77031" w:rsidRPr="004A5EEE" w:rsidRDefault="004A5EEE" w:rsidP="004D49A1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（二）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严把设计方案审查、论证关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。各县（市、区）、曲靖经济技术开发区要严把设计方案审查、论证关。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城市绿地设计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统一规划、协同建设、综合管理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将节约型、生态型、功能完善型园林绿化的具体要求落实到设计方案审查中，不仅对绿地指标进行审查，还要针对树种选择、植物配置、结构布局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、生态性、景观性、文化性、功能性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等内容进行论证。</w:t>
      </w:r>
    </w:p>
    <w:p w:rsidR="00D77031" w:rsidRPr="004A5EEE" w:rsidRDefault="004A5EEE" w:rsidP="004D49A1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lastRenderedPageBreak/>
        <w:t>（三）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量质并举，功能完善。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各县（市、区）、曲靖经济技术开发区要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在增加城市绿地面积的基础上全面提升绿地品质。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通过科学规划和合理设计，进一步完善绿地系统布局和结构，实现城市园林绿化生态、景观、游憩、文化、科教、防灾等多种功能的协调发展。对城市边角地、弃置地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全部实施绿化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。要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结合市政基础设施积极开展墙体、屋面、阳台、桥体、公交站点、停车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场等立体空间绿化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。要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通过拆迁建绿、拆违还绿、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、拆墙透绿、见缝插绿、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破硬增绿等形式，加强城市绿化薄弱地区的园林绿化建设和改造提升。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按照城市居民出行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300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米见绿，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500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米见园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及公园服务半径覆盖率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≥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70%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的要求，加快各类公园绿地建设，不断提高公园服务半径覆盖率。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要大力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倡导文化建园，提高公园文化品位和内涵，打造精品公园。</w:t>
      </w:r>
    </w:p>
    <w:p w:rsidR="00D77031" w:rsidRPr="004A5EEE" w:rsidRDefault="004A5EEE" w:rsidP="004A5EE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（四）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因地制宜，资源节约。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各县（市、区）、曲靖经济技术开发区要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因地制宜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，充分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利用城市空间开展增绿、建绿工程，加强面山绿化，推广立体绿化，广泛种植适应当地气候条件的树种，提升园林绿化品质和景观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水平，保护好城市的山水林田湖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湿地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等生态细胞，以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节地、节水、节材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和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减少城市热岛效应、减少城市空气和水体污染、减少城市建筑和基础设施能耗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为核心，在城市园林绿化规划、设计、建设和养护管理各个环节中最大限度地节约资源，提高资源使用效率，减少资源消耗和浪费，获得最大的生态、社会和经济效益。加强城市道路绿化隔离带、道路分车带和行道树的绿化建设，合理配置乔木种植比重，在减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lastRenderedPageBreak/>
        <w:t>少尾气污染的同时，为步行及非机动车使用者提供健康、安全、舒适的出行空间。合理利用城市湿地和增加下凹式绿地、透水铺装、路面雨水引流设施等措施，因地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制宜推广海绵型公园和集雨型绿地建设。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</w:p>
    <w:p w:rsidR="00D77031" w:rsidRPr="004A5EEE" w:rsidRDefault="004A5EEE">
      <w:pPr>
        <w:spacing w:line="560" w:lineRule="exact"/>
        <w:ind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（五）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政府主导，社会参与。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各县（市、区）、曲靖经济技术开发区要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加强城乡大环境绿化，结合城市道路、山体、水系、湿地、林地建设绿化隔离带、绿道、绿廊等，强化城乡之间绿色生态空间的联系。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强化政府在资源协调、理念引导、规划控制、财政投入等方面的作用，吸引社会资本通过政府购买服务的形式进入园林绿化的运营和养护，提升社会公众在园林绿化规划、建设和管理各个方面的参与度，努力营造全民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共建共享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的和谐氛围。</w:t>
      </w:r>
    </w:p>
    <w:p w:rsidR="00D77031" w:rsidRPr="004A5EEE" w:rsidRDefault="00BF4C42">
      <w:pPr>
        <w:spacing w:line="560" w:lineRule="exact"/>
        <w:ind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4A5EEE">
        <w:rPr>
          <w:rFonts w:ascii="Times New Roman" w:eastAsia="方正黑体_GBK" w:hAnsi="方正黑体_GBK" w:cs="方正黑体_GBK" w:hint="eastAsia"/>
          <w:sz w:val="32"/>
          <w:szCs w:val="32"/>
        </w:rPr>
        <w:t>四、保障措施</w:t>
      </w:r>
    </w:p>
    <w:p w:rsidR="00D77031" w:rsidRPr="004A5EEE" w:rsidRDefault="004A5EEE" w:rsidP="004A5EE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（一）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严格落实有关责任。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各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（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市、区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）、曲靖经济技术开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发区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是提升城市绿化品质行动的责任主体，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建立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以园林城市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（县城、城镇）、绿色村庄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创建为抓手，以增绿为目标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的工作推进机制，确保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各项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增绿、建绿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工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程顺利实施。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由主要领导负总责，并明确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名领导具体负责，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于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12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月底前制定实施方案，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明确年度任务，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落实责任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，按时完成任务。</w:t>
      </w:r>
    </w:p>
    <w:p w:rsidR="00D77031" w:rsidRPr="004A5EEE" w:rsidRDefault="004A5EEE" w:rsidP="004D49A1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（二）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完善督查问责机制。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各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（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市、区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）、曲靖经济技术开发区要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加强各项工作推进情况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上报制度，每月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25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日前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按照《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提升城市绿化品质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工作进度表》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(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附件</w:t>
      </w:r>
      <w:r w:rsidR="00BF4C42" w:rsidRPr="004A5EEE">
        <w:rPr>
          <w:rFonts w:ascii="Times New Roman" w:eastAsia="方正仿宋_GBK" w:hAnsi="Times New Roman" w:cs="方正仿宋_GBK" w:hint="eastAsia"/>
          <w:sz w:val="32"/>
          <w:szCs w:val="32"/>
        </w:rPr>
        <w:t>)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按月填报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，同时以文字形式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lastRenderedPageBreak/>
        <w:t>上报月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工作进展情况，及时分析和解决增绿、建绿工程存在的问题和困难。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要加大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对增绿、建绿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提升城市绿化品质行动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的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宣传力度，对增绿、建绿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提升城市绿化品质行动中的先进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单位和个人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给予报道，总结推广经验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，对工作推进不力、不能完成目标任务的单位和个人进行问责或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给予通报。</w:t>
      </w:r>
    </w:p>
    <w:p w:rsidR="00D77031" w:rsidRPr="004A5EEE" w:rsidRDefault="004A5EEE" w:rsidP="004A5EEE">
      <w:pPr>
        <w:spacing w:line="560" w:lineRule="exact"/>
        <w:ind w:firstLineChars="250" w:firstLine="800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楷体_GBK" w:hAnsi="方正楷体_GBK" w:cs="方正楷体_GBK" w:hint="eastAsia"/>
          <w:sz w:val="32"/>
          <w:szCs w:val="32"/>
        </w:rPr>
        <w:t>（三）</w:t>
      </w:r>
      <w:r w:rsidR="00BF4C42" w:rsidRPr="004A5EEE">
        <w:rPr>
          <w:rFonts w:ascii="Times New Roman" w:eastAsia="方正楷体_GBK" w:hAnsi="方正楷体_GBK" w:cs="方正楷体_GBK" w:hint="eastAsia"/>
          <w:sz w:val="32"/>
          <w:szCs w:val="32"/>
        </w:rPr>
        <w:t>实施量化考核。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各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（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市、区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）、曲靖经济技术开发区要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按照争当生态文明建设排头兵要求，将增绿、建绿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、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提升城市绿化品质行动工作推进情况纳入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党委</w:t>
      </w:r>
      <w:r w:rsidR="00BF4C42" w:rsidRPr="004A5EEE">
        <w:rPr>
          <w:rFonts w:ascii="Times New Roman" w:eastAsia="方正仿宋_GBK" w:hAnsi="方正仿宋_GBK" w:cs="方正仿宋_GBK" w:hint="eastAsia"/>
          <w:sz w:val="32"/>
          <w:szCs w:val="32"/>
        </w:rPr>
        <w:t>政府工作年度考核，按照增绿任务实施量化考核。鼓励社会资本参与城市园林绿化事业建设，拓宽投融资渠道，确保城市绿地指标逐年增长。</w:t>
      </w:r>
    </w:p>
    <w:p w:rsidR="00D77031" w:rsidRPr="004A5EEE" w:rsidRDefault="00D77031">
      <w:pPr>
        <w:spacing w:line="560" w:lineRule="exact"/>
        <w:jc w:val="left"/>
        <w:rPr>
          <w:rFonts w:ascii="Times New Roman" w:eastAsia="方正仿宋_GBK" w:hAnsi="Times New Roman" w:cs="方正仿宋_GBK"/>
          <w:sz w:val="32"/>
          <w:szCs w:val="32"/>
        </w:rPr>
      </w:pPr>
    </w:p>
    <w:p w:rsidR="00D77031" w:rsidRPr="004A5EEE" w:rsidRDefault="00BF4C42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4A5EEE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 w:rsidRPr="004A5EEE">
        <w:rPr>
          <w:rFonts w:ascii="Times New Roman" w:eastAsia="方正仿宋_GBK" w:hAnsi="方正仿宋_GBK" w:cs="方正仿宋_GBK" w:hint="eastAsia"/>
          <w:sz w:val="32"/>
          <w:szCs w:val="32"/>
        </w:rPr>
        <w:t>附件：提升城市绿化品质工作进度表</w:t>
      </w:r>
    </w:p>
    <w:p w:rsidR="00D77031" w:rsidRPr="004A5EEE" w:rsidRDefault="00D77031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D77031" w:rsidRPr="004A5EEE" w:rsidRDefault="00D77031">
      <w:pPr>
        <w:spacing w:line="560" w:lineRule="exact"/>
        <w:ind w:firstLine="640"/>
        <w:jc w:val="left"/>
        <w:rPr>
          <w:rFonts w:ascii="Times New Roman" w:eastAsia="方正仿宋_GBK" w:hAnsi="Times New Roman" w:cs="方正仿宋_GBK"/>
          <w:sz w:val="32"/>
          <w:szCs w:val="32"/>
        </w:rPr>
        <w:sectPr w:rsidR="00D77031" w:rsidRPr="004A5EEE" w:rsidSect="004A5EEE"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type="linesAndChars" w:linePitch="312"/>
        </w:sectPr>
      </w:pPr>
    </w:p>
    <w:p w:rsidR="00D77031" w:rsidRPr="004A5EEE" w:rsidRDefault="00BF4C42">
      <w:pPr>
        <w:jc w:val="left"/>
        <w:rPr>
          <w:rFonts w:ascii="Times New Roman" w:hAnsi="Times New Roman"/>
          <w:sz w:val="32"/>
          <w:szCs w:val="32"/>
        </w:rPr>
      </w:pPr>
      <w:r w:rsidRPr="004A5EEE">
        <w:rPr>
          <w:rFonts w:ascii="Times New Roman" w:hint="eastAsia"/>
          <w:sz w:val="32"/>
          <w:szCs w:val="32"/>
        </w:rPr>
        <w:lastRenderedPageBreak/>
        <w:t>附件</w:t>
      </w:r>
    </w:p>
    <w:p w:rsidR="00D77031" w:rsidRPr="004A5EEE" w:rsidRDefault="00BF4C42">
      <w:pPr>
        <w:spacing w:line="480" w:lineRule="exact"/>
        <w:jc w:val="center"/>
        <w:rPr>
          <w:rFonts w:ascii="Times New Roman" w:eastAsia="方正大标宋_GBK" w:hAnsi="Times New Roman"/>
          <w:b/>
          <w:bCs/>
          <w:sz w:val="44"/>
          <w:szCs w:val="44"/>
        </w:rPr>
      </w:pPr>
      <w:r w:rsidRPr="004A5EEE">
        <w:rPr>
          <w:rFonts w:ascii="Times New Roman" w:eastAsia="方正大标宋_GBK" w:hAnsi="Times New Roman" w:hint="eastAsia"/>
          <w:b/>
          <w:bCs/>
          <w:sz w:val="44"/>
          <w:szCs w:val="44"/>
        </w:rPr>
        <w:t>提升城市绿化品质工作进度表</w:t>
      </w:r>
    </w:p>
    <w:p w:rsidR="00D77031" w:rsidRPr="004A5EEE" w:rsidRDefault="00BF4C42">
      <w:pPr>
        <w:jc w:val="left"/>
        <w:rPr>
          <w:rFonts w:ascii="Times New Roman" w:hAnsi="Times New Roman"/>
          <w:sz w:val="32"/>
          <w:szCs w:val="32"/>
        </w:rPr>
      </w:pPr>
      <w:r w:rsidRPr="004A5EEE">
        <w:rPr>
          <w:rFonts w:ascii="Times New Roman" w:hint="eastAsia"/>
          <w:sz w:val="32"/>
          <w:szCs w:val="32"/>
        </w:rPr>
        <w:t>县（市、区）</w:t>
      </w:r>
      <w:r w:rsidRPr="004A5EEE">
        <w:rPr>
          <w:rFonts w:ascii="Times New Roman" w:hint="eastAsia"/>
          <w:sz w:val="32"/>
          <w:szCs w:val="32"/>
        </w:rPr>
        <w:t>（公章）：</w:t>
      </w:r>
    </w:p>
    <w:tbl>
      <w:tblPr>
        <w:tblStyle w:val="a4"/>
        <w:tblW w:w="14713" w:type="dxa"/>
        <w:tblLayout w:type="fixed"/>
        <w:tblLook w:val="04A0"/>
      </w:tblPr>
      <w:tblGrid>
        <w:gridCol w:w="1143"/>
        <w:gridCol w:w="1233"/>
        <w:gridCol w:w="1276"/>
        <w:gridCol w:w="1463"/>
        <w:gridCol w:w="1766"/>
        <w:gridCol w:w="1449"/>
        <w:gridCol w:w="1276"/>
        <w:gridCol w:w="1417"/>
        <w:gridCol w:w="1276"/>
        <w:gridCol w:w="2414"/>
      </w:tblGrid>
      <w:tr w:rsidR="00D77031" w:rsidRPr="004A5EEE">
        <w:trPr>
          <w:trHeight w:val="716"/>
        </w:trPr>
        <w:tc>
          <w:tcPr>
            <w:tcW w:w="1143" w:type="dxa"/>
            <w:vMerge w:val="restart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县（市、区）</w:t>
            </w:r>
          </w:p>
        </w:tc>
        <w:tc>
          <w:tcPr>
            <w:tcW w:w="1233" w:type="dxa"/>
            <w:vMerge w:val="restart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国家级、省级创园开展情况</w:t>
            </w:r>
          </w:p>
        </w:tc>
        <w:tc>
          <w:tcPr>
            <w:tcW w:w="1276" w:type="dxa"/>
            <w:vMerge w:val="restart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绿规编制</w:t>
            </w:r>
            <w:r w:rsidRPr="004A5EEE">
              <w:rPr>
                <w:rFonts w:ascii="Times New Roman" w:hint="eastAsia"/>
                <w:sz w:val="24"/>
                <w:szCs w:val="24"/>
              </w:rPr>
              <w:t>完</w:t>
            </w:r>
            <w:r w:rsidRPr="004A5EEE">
              <w:rPr>
                <w:rFonts w:ascii="Times New Roman" w:hint="eastAsia"/>
                <w:sz w:val="24"/>
                <w:szCs w:val="24"/>
              </w:rPr>
              <w:t>成情况及说明</w:t>
            </w:r>
          </w:p>
        </w:tc>
        <w:tc>
          <w:tcPr>
            <w:tcW w:w="3229" w:type="dxa"/>
            <w:gridSpan w:val="2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绿化投资完成情况</w:t>
            </w:r>
          </w:p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（单位：万元）</w:t>
            </w:r>
          </w:p>
        </w:tc>
        <w:tc>
          <w:tcPr>
            <w:tcW w:w="2725" w:type="dxa"/>
            <w:gridSpan w:val="2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建成区园林绿地面积（单位：公顷）</w:t>
            </w:r>
          </w:p>
        </w:tc>
        <w:tc>
          <w:tcPr>
            <w:tcW w:w="2693" w:type="dxa"/>
            <w:gridSpan w:val="2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公园绿地面积</w:t>
            </w:r>
          </w:p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（单位：公顷）</w:t>
            </w:r>
          </w:p>
        </w:tc>
        <w:tc>
          <w:tcPr>
            <w:tcW w:w="2414" w:type="dxa"/>
            <w:vMerge w:val="restart"/>
          </w:tcPr>
          <w:p w:rsidR="00D77031" w:rsidRPr="004A5EEE" w:rsidRDefault="00D7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031" w:rsidRPr="004A5EEE" w:rsidRDefault="00D7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公园个数（个）</w:t>
            </w:r>
          </w:p>
        </w:tc>
      </w:tr>
      <w:tr w:rsidR="00D77031" w:rsidRPr="004A5EEE">
        <w:trPr>
          <w:trHeight w:val="799"/>
        </w:trPr>
        <w:tc>
          <w:tcPr>
            <w:tcW w:w="1143" w:type="dxa"/>
            <w:vMerge/>
          </w:tcPr>
          <w:p w:rsidR="00D77031" w:rsidRPr="004A5EEE" w:rsidRDefault="00D7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D77031" w:rsidRPr="004A5EEE" w:rsidRDefault="00D7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77031" w:rsidRPr="004A5EEE" w:rsidRDefault="00D7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本月新增投资量</w:t>
            </w:r>
          </w:p>
        </w:tc>
        <w:tc>
          <w:tcPr>
            <w:tcW w:w="1766" w:type="dxa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本年累计完成投资量</w:t>
            </w:r>
          </w:p>
        </w:tc>
        <w:tc>
          <w:tcPr>
            <w:tcW w:w="1449" w:type="dxa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本月增量</w:t>
            </w:r>
          </w:p>
        </w:tc>
        <w:tc>
          <w:tcPr>
            <w:tcW w:w="1276" w:type="dxa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总计</w:t>
            </w:r>
          </w:p>
        </w:tc>
        <w:tc>
          <w:tcPr>
            <w:tcW w:w="1417" w:type="dxa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本月增量</w:t>
            </w:r>
          </w:p>
        </w:tc>
        <w:tc>
          <w:tcPr>
            <w:tcW w:w="1276" w:type="dxa"/>
          </w:tcPr>
          <w:p w:rsidR="00D77031" w:rsidRPr="004A5EEE" w:rsidRDefault="00B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EE">
              <w:rPr>
                <w:rFonts w:ascii="Times New Roman" w:hint="eastAsia"/>
                <w:sz w:val="24"/>
                <w:szCs w:val="24"/>
              </w:rPr>
              <w:t>总计</w:t>
            </w:r>
          </w:p>
        </w:tc>
        <w:tc>
          <w:tcPr>
            <w:tcW w:w="2414" w:type="dxa"/>
            <w:vMerge/>
          </w:tcPr>
          <w:p w:rsidR="00D77031" w:rsidRPr="004A5EEE" w:rsidRDefault="00D77031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77031" w:rsidRPr="004A5EEE">
        <w:trPr>
          <w:trHeight w:val="716"/>
        </w:trPr>
        <w:tc>
          <w:tcPr>
            <w:tcW w:w="114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3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6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49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414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77031" w:rsidRPr="004A5EEE">
        <w:trPr>
          <w:trHeight w:val="741"/>
        </w:trPr>
        <w:tc>
          <w:tcPr>
            <w:tcW w:w="114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3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6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49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414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77031" w:rsidRPr="004A5EEE">
        <w:trPr>
          <w:trHeight w:val="491"/>
        </w:trPr>
        <w:tc>
          <w:tcPr>
            <w:tcW w:w="114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3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6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49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414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77031" w:rsidRPr="004A5EEE">
        <w:trPr>
          <w:trHeight w:val="555"/>
        </w:trPr>
        <w:tc>
          <w:tcPr>
            <w:tcW w:w="114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3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6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49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414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77031" w:rsidRPr="004A5EEE">
        <w:trPr>
          <w:trHeight w:val="549"/>
        </w:trPr>
        <w:tc>
          <w:tcPr>
            <w:tcW w:w="114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3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6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49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414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77031" w:rsidRPr="004A5EEE">
        <w:trPr>
          <w:trHeight w:val="741"/>
        </w:trPr>
        <w:tc>
          <w:tcPr>
            <w:tcW w:w="114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3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6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49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414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77031" w:rsidRPr="004A5EEE">
        <w:trPr>
          <w:trHeight w:val="525"/>
        </w:trPr>
        <w:tc>
          <w:tcPr>
            <w:tcW w:w="114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3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63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6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49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414" w:type="dxa"/>
          </w:tcPr>
          <w:p w:rsidR="00D77031" w:rsidRPr="004A5EEE" w:rsidRDefault="00D77031">
            <w:pPr>
              <w:spacing w:line="240" w:lineRule="exact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D77031" w:rsidRPr="004A5EEE" w:rsidRDefault="00BF4C42">
      <w:pPr>
        <w:jc w:val="left"/>
        <w:rPr>
          <w:rFonts w:ascii="Times New Roman" w:hAnsi="Times New Roman"/>
        </w:rPr>
      </w:pPr>
      <w:r w:rsidRPr="004A5EEE">
        <w:rPr>
          <w:rFonts w:ascii="Times New Roman" w:hint="eastAsia"/>
        </w:rPr>
        <w:t>（备注：如表中的指示不能量化，请以文字形式提供建设进展情况</w:t>
      </w:r>
      <w:r w:rsidRPr="004A5EEE">
        <w:rPr>
          <w:rFonts w:ascii="Times New Roman" w:hint="eastAsia"/>
        </w:rPr>
        <w:t>。）</w:t>
      </w:r>
    </w:p>
    <w:p w:rsidR="00D77031" w:rsidRPr="004A5EEE" w:rsidRDefault="00D77031">
      <w:pPr>
        <w:jc w:val="left"/>
        <w:rPr>
          <w:rFonts w:ascii="Times New Roman" w:hAnsi="Times New Roman"/>
        </w:rPr>
      </w:pPr>
      <w:bookmarkStart w:id="0" w:name="_GoBack"/>
      <w:bookmarkEnd w:id="0"/>
    </w:p>
    <w:sectPr w:rsidR="00D77031" w:rsidRPr="004A5EEE" w:rsidSect="00D77031"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42" w:rsidRDefault="00BF4C42" w:rsidP="00D77031">
      <w:r>
        <w:separator/>
      </w:r>
    </w:p>
  </w:endnote>
  <w:endnote w:type="continuationSeparator" w:id="1">
    <w:p w:rsidR="00BF4C42" w:rsidRDefault="00BF4C42" w:rsidP="00D7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default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31" w:rsidRDefault="00D770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77031" w:rsidRDefault="00D7703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F4C4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A5EEE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42" w:rsidRDefault="00BF4C42" w:rsidP="00D77031">
      <w:r>
        <w:separator/>
      </w:r>
    </w:p>
  </w:footnote>
  <w:footnote w:type="continuationSeparator" w:id="1">
    <w:p w:rsidR="00BF4C42" w:rsidRDefault="00BF4C42" w:rsidP="00D77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C6CC0"/>
    <w:rsid w:val="004A5EEE"/>
    <w:rsid w:val="004D49A1"/>
    <w:rsid w:val="00BF4C42"/>
    <w:rsid w:val="00D77031"/>
    <w:rsid w:val="3C1A6FC9"/>
    <w:rsid w:val="6B9C6CC0"/>
    <w:rsid w:val="74DB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70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rsid w:val="00D7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D4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49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Windows User</cp:lastModifiedBy>
  <cp:revision>3</cp:revision>
  <cp:lastPrinted>2016-12-23T00:29:00Z</cp:lastPrinted>
  <dcterms:created xsi:type="dcterms:W3CDTF">2016-12-23T01:58:00Z</dcterms:created>
  <dcterms:modified xsi:type="dcterms:W3CDTF">2016-12-23T02:01:00Z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