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_GBK"/>
          <w:sz w:val="28"/>
          <w:szCs w:val="28"/>
        </w:rPr>
      </w:pPr>
      <w:r>
        <w:rPr>
          <w:rFonts w:eastAsia="方正黑体_GBK"/>
          <w:sz w:val="28"/>
          <w:szCs w:val="28"/>
        </w:rPr>
        <w:t>附件2：</w:t>
      </w:r>
    </w:p>
    <w:p>
      <w:pPr>
        <w:spacing w:line="56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国家园林城市标准</w:t>
      </w:r>
    </w:p>
    <w:p>
      <w:pPr>
        <w:spacing w:line="560" w:lineRule="exact"/>
        <w:rPr>
          <w:rFonts w:hint="eastAsia" w:ascii="黑体" w:hAnsi="黑体" w:eastAsia="黑体"/>
          <w:b/>
          <w:sz w:val="44"/>
          <w:szCs w:val="44"/>
        </w:rPr>
      </w:pPr>
    </w:p>
    <w:p>
      <w:pPr>
        <w:spacing w:line="56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一、国家园林城市标准指标体系</w:t>
      </w:r>
    </w:p>
    <w:p>
      <w:pPr>
        <w:spacing w:line="560" w:lineRule="exact"/>
        <w:ind w:left="720"/>
        <w:rPr>
          <w:rFonts w:hint="eastAsia" w:ascii="黑体" w:hAnsi="黑体" w:eastAsia="黑体"/>
          <w:sz w:val="32"/>
          <w:szCs w:val="32"/>
        </w:rPr>
      </w:pPr>
    </w:p>
    <w:tbl>
      <w:tblPr>
        <w:tblStyle w:val="3"/>
        <w:tblW w:w="10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480"/>
        <w:gridCol w:w="1318"/>
        <w:gridCol w:w="2281"/>
        <w:gridCol w:w="359"/>
        <w:gridCol w:w="3044"/>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95" w:type="dxa"/>
            <w:vMerge w:val="restart"/>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类型</w:t>
            </w:r>
          </w:p>
        </w:tc>
        <w:tc>
          <w:tcPr>
            <w:tcW w:w="480" w:type="dxa"/>
            <w:vMerge w:val="restart"/>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序号</w:t>
            </w:r>
          </w:p>
        </w:tc>
        <w:tc>
          <w:tcPr>
            <w:tcW w:w="3599" w:type="dxa"/>
            <w:gridSpan w:val="2"/>
            <w:vMerge w:val="restart"/>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指   标</w:t>
            </w:r>
          </w:p>
        </w:tc>
        <w:tc>
          <w:tcPr>
            <w:tcW w:w="359" w:type="dxa"/>
            <w:vMerge w:val="restart"/>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备注</w:t>
            </w:r>
          </w:p>
        </w:tc>
        <w:tc>
          <w:tcPr>
            <w:tcW w:w="5729" w:type="dxa"/>
            <w:gridSpan w:val="2"/>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国家园林城市标准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95" w:type="dxa"/>
            <w:vMerge w:val="continue"/>
            <w:vAlign w:val="center"/>
          </w:tcPr>
          <w:p>
            <w:pPr>
              <w:spacing w:line="320" w:lineRule="exact"/>
              <w:jc w:val="center"/>
              <w:rPr>
                <w:rFonts w:hint="eastAsia" w:ascii="仿宋_GB2312" w:hAnsi="宋体" w:eastAsia="仿宋_GB2312"/>
                <w:b/>
                <w:kern w:val="0"/>
                <w:sz w:val="24"/>
              </w:rPr>
            </w:pPr>
          </w:p>
        </w:tc>
        <w:tc>
          <w:tcPr>
            <w:tcW w:w="480" w:type="dxa"/>
            <w:vMerge w:val="continue"/>
            <w:vAlign w:val="center"/>
          </w:tcPr>
          <w:p>
            <w:pPr>
              <w:spacing w:line="320" w:lineRule="exact"/>
              <w:jc w:val="center"/>
              <w:rPr>
                <w:rFonts w:hint="eastAsia" w:ascii="仿宋_GB2312" w:hAnsi="宋体" w:eastAsia="仿宋_GB2312"/>
                <w:b/>
                <w:kern w:val="0"/>
                <w:sz w:val="24"/>
              </w:rPr>
            </w:pPr>
          </w:p>
        </w:tc>
        <w:tc>
          <w:tcPr>
            <w:tcW w:w="3599" w:type="dxa"/>
            <w:gridSpan w:val="2"/>
            <w:vMerge w:val="continue"/>
            <w:vAlign w:val="center"/>
          </w:tcPr>
          <w:p>
            <w:pPr>
              <w:spacing w:line="320" w:lineRule="exact"/>
              <w:jc w:val="center"/>
              <w:rPr>
                <w:rFonts w:hint="eastAsia" w:ascii="仿宋_GB2312" w:hAnsi="宋体" w:eastAsia="仿宋_GB2312"/>
                <w:b/>
                <w:kern w:val="0"/>
                <w:sz w:val="24"/>
              </w:rPr>
            </w:pPr>
          </w:p>
        </w:tc>
        <w:tc>
          <w:tcPr>
            <w:tcW w:w="359" w:type="dxa"/>
            <w:vMerge w:val="continue"/>
            <w:vAlign w:val="center"/>
          </w:tcPr>
          <w:p>
            <w:pPr>
              <w:spacing w:line="320" w:lineRule="exact"/>
              <w:jc w:val="center"/>
              <w:rPr>
                <w:rFonts w:hint="eastAsia" w:ascii="仿宋_GB2312" w:hAnsi="宋体" w:eastAsia="仿宋_GB2312"/>
                <w:b/>
                <w:kern w:val="0"/>
                <w:sz w:val="24"/>
              </w:rPr>
            </w:pPr>
          </w:p>
        </w:tc>
        <w:tc>
          <w:tcPr>
            <w:tcW w:w="3044" w:type="dxa"/>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基本项</w:t>
            </w:r>
          </w:p>
        </w:tc>
        <w:tc>
          <w:tcPr>
            <w:tcW w:w="2685" w:type="dxa"/>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提升项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restart"/>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w:t>
            </w:r>
          </w:p>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综合</w:t>
            </w:r>
          </w:p>
          <w:p>
            <w:pPr>
              <w:spacing w:line="320" w:lineRule="exact"/>
              <w:jc w:val="center"/>
              <w:rPr>
                <w:rFonts w:hint="eastAsia" w:ascii="仿宋_GB2312" w:hAnsi="宋体" w:eastAsia="仿宋_GB2312"/>
                <w:kern w:val="0"/>
                <w:sz w:val="24"/>
              </w:rPr>
            </w:pPr>
            <w:r>
              <w:rPr>
                <w:rFonts w:hint="eastAsia" w:ascii="仿宋_GB2312" w:hAnsi="宋体" w:eastAsia="仿宋_GB2312"/>
                <w:b/>
                <w:kern w:val="0"/>
                <w:sz w:val="24"/>
              </w:rPr>
              <w:t>管理</w:t>
            </w: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sz w:val="24"/>
              </w:rPr>
              <w:t>城市园林绿化管理机构</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sz w:val="24"/>
              </w:rPr>
              <w:t>①按照各级政府职能分工的要求，设立独立的专业管理机构；②依照法律法规有效行使行政管理职能。</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仿宋_GB2312"/>
                <w:kern w:val="0"/>
                <w:sz w:val="24"/>
              </w:rPr>
              <w:t>城市园林绿化建设维护专项资金</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top"/>
          </w:tcPr>
          <w:p>
            <w:pPr>
              <w:spacing w:line="280" w:lineRule="exact"/>
              <w:rPr>
                <w:rFonts w:hint="eastAsia" w:ascii="仿宋_GB2312" w:hAnsi="宋体" w:eastAsia="仿宋_GB2312"/>
                <w:sz w:val="24"/>
              </w:rPr>
            </w:pPr>
            <w:r>
              <w:rPr>
                <w:rFonts w:hint="eastAsia" w:ascii="仿宋_GB2312" w:hAnsi="宋体" w:eastAsia="仿宋_GB2312"/>
                <w:sz w:val="24"/>
              </w:rPr>
              <w:t>①近三年城市园林绿化建设资金逐年增加；②政府财政预算中专门列项“城市园林绿化维护资金”，切实保障园林绿化日常维修养护及相关人员经费，并逐年增加。</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3</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sz w:val="24"/>
              </w:rPr>
              <w:t>城市园林绿化科研能力</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sz w:val="24"/>
              </w:rPr>
              <w:t>①具有以城市园林绿化研究、成果推广和科普宣传为主要工作内容的研究机构；②近三年（含申报年）有园林科研项目在实际应用中得到推广。</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4</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sz w:val="24"/>
              </w:rPr>
              <w:t>《城市绿地系统规划》编制</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sz w:val="24"/>
              </w:rPr>
              <w:t>《城市绿地系统规划》由具有相关规划资质的单位编制，经政府批准实施，纳入《城市总体规划》并与之相协调。</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5</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仿宋_GB2312"/>
                <w:kern w:val="0"/>
                <w:sz w:val="24"/>
              </w:rPr>
              <w:t>城市绿线管理</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sz w:val="24"/>
              </w:rPr>
              <w:t>严格实施城市绿线管制制度，按照《城市绿线管理办法》（建设部令第112号）要求划定绿线，并在至少两种以上的公开媒体上向社会公布。</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6</w:t>
            </w:r>
          </w:p>
        </w:tc>
        <w:tc>
          <w:tcPr>
            <w:tcW w:w="3599" w:type="dxa"/>
            <w:gridSpan w:val="2"/>
            <w:shd w:val="clear" w:color="auto" w:fill="auto"/>
            <w:vAlign w:val="center"/>
          </w:tcPr>
          <w:p>
            <w:pPr>
              <w:spacing w:line="320" w:lineRule="exact"/>
              <w:rPr>
                <w:rFonts w:hint="eastAsia" w:ascii="仿宋_GB2312" w:hAnsi="宋体" w:eastAsia="仿宋_GB2312" w:cs="仿宋_GB2312"/>
                <w:kern w:val="0"/>
                <w:sz w:val="24"/>
              </w:rPr>
            </w:pPr>
            <w:r>
              <w:rPr>
                <w:rFonts w:hint="eastAsia" w:ascii="仿宋_GB2312" w:hAnsi="宋体" w:eastAsia="仿宋_GB2312" w:cs="仿宋_GB2312"/>
                <w:kern w:val="0"/>
                <w:sz w:val="24"/>
              </w:rPr>
              <w:t>城市蓝线管理</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sz w:val="24"/>
              </w:rPr>
              <w:t>划定城市蓝线，蓝线的管理和实施符合《城市蓝线管理办法》（建设部令第145号）的规定。</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7</w:t>
            </w:r>
          </w:p>
        </w:tc>
        <w:tc>
          <w:tcPr>
            <w:tcW w:w="3599" w:type="dxa"/>
            <w:gridSpan w:val="2"/>
            <w:shd w:val="clear" w:color="auto" w:fill="auto"/>
            <w:vAlign w:val="center"/>
          </w:tcPr>
          <w:p>
            <w:pPr>
              <w:spacing w:line="320" w:lineRule="exact"/>
              <w:rPr>
                <w:rFonts w:hint="eastAsia" w:ascii="仿宋_GB2312" w:hAnsi="宋体" w:eastAsia="仿宋_GB2312" w:cs="仿宋_GB2312"/>
                <w:kern w:val="0"/>
                <w:sz w:val="24"/>
              </w:rPr>
            </w:pPr>
            <w:r>
              <w:rPr>
                <w:rFonts w:hint="eastAsia" w:ascii="仿宋_GB2312" w:hAnsi="宋体" w:eastAsia="仿宋_GB2312" w:cs="仿宋_GB2312"/>
                <w:kern w:val="0"/>
                <w:sz w:val="24"/>
              </w:rPr>
              <w:t>城市园林绿化制度建设</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sz w:val="24"/>
              </w:rPr>
              <w:t>绿线管理、园林绿化工程管理、养护管理、公示制度及控制大树移栽、防止外来物种入侵、义务植树等各项管理制度健全。</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8</w:t>
            </w:r>
          </w:p>
        </w:tc>
        <w:tc>
          <w:tcPr>
            <w:tcW w:w="3599" w:type="dxa"/>
            <w:gridSpan w:val="2"/>
            <w:shd w:val="clear" w:color="auto" w:fill="auto"/>
            <w:vAlign w:val="center"/>
          </w:tcPr>
          <w:p>
            <w:pPr>
              <w:spacing w:line="320" w:lineRule="exact"/>
              <w:rPr>
                <w:rFonts w:hint="eastAsia" w:ascii="仿宋_GB2312" w:hAnsi="宋体" w:eastAsia="仿宋_GB2312" w:cs="仿宋_GB2312"/>
                <w:kern w:val="0"/>
                <w:sz w:val="24"/>
              </w:rPr>
            </w:pPr>
            <w:r>
              <w:rPr>
                <w:rFonts w:hint="eastAsia" w:ascii="仿宋_GB2312" w:hAnsi="宋体" w:eastAsia="仿宋_GB2312" w:cs="仿宋_GB2312"/>
                <w:kern w:val="0"/>
                <w:sz w:val="24"/>
              </w:rPr>
              <w:t>城市园林绿化管理信息技术应用</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sz w:val="24"/>
              </w:rPr>
              <w:t>①已建立城市园林绿化数字化信息库、信息发布与社会服务信息共享平台；②城市园林绿化建设和管理实施动态监管；③保障公众参与和社会监督。</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仿宋_GB2312" w:hAnsi="宋体" w:eastAsia="仿宋_GB2312"/>
                <w:b/>
                <w:kern w:val="0"/>
                <w:sz w:val="24"/>
              </w:rPr>
              <w:t>9</w:t>
            </w:r>
          </w:p>
        </w:tc>
        <w:tc>
          <w:tcPr>
            <w:tcW w:w="3599" w:type="dxa"/>
            <w:gridSpan w:val="2"/>
            <w:shd w:val="clear" w:color="auto" w:fill="auto"/>
            <w:vAlign w:val="center"/>
          </w:tcPr>
          <w:p>
            <w:pPr>
              <w:spacing w:line="320" w:lineRule="exact"/>
              <w:rPr>
                <w:rFonts w:hint="eastAsia" w:ascii="仿宋_GB2312" w:hAnsi="宋体" w:eastAsia="仿宋_GB2312" w:cs="仿宋_GB2312"/>
                <w:kern w:val="0"/>
                <w:sz w:val="24"/>
              </w:rPr>
            </w:pPr>
            <w:r>
              <w:rPr>
                <w:rFonts w:hint="eastAsia" w:ascii="仿宋_GB2312" w:hAnsi="宋体" w:eastAsia="仿宋_GB2312" w:cs="仿宋_GB2312"/>
                <w:kern w:val="0"/>
                <w:sz w:val="24"/>
              </w:rPr>
              <w:t>公众对城市园林绿化的满意率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395" w:type="dxa"/>
            <w:vMerge w:val="restart"/>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绿地</w:t>
            </w:r>
          </w:p>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建设</w:t>
            </w: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建成区绿化覆盖率</w:t>
            </w:r>
            <w:r>
              <w:rPr>
                <w:rFonts w:hint="eastAsia" w:ascii="仿宋_GB2312" w:hAnsi="宋体" w:eastAsia="仿宋_GB2312" w:cs="宋体"/>
                <w:kern w:val="0"/>
                <w:sz w:val="24"/>
              </w:rPr>
              <w:t>(%)</w:t>
            </w:r>
          </w:p>
        </w:tc>
        <w:tc>
          <w:tcPr>
            <w:tcW w:w="359" w:type="dxa"/>
            <w:shd w:val="clear" w:color="auto" w:fill="auto"/>
            <w:vAlign w:val="center"/>
          </w:tcPr>
          <w:p>
            <w:pPr>
              <w:spacing w:line="360" w:lineRule="exact"/>
              <w:jc w:val="center"/>
              <w:rPr>
                <w:rFonts w:hint="eastAsia" w:ascii="仿宋_GB2312" w:hAnsi="宋体" w:eastAsia="仿宋_GB2312"/>
                <w:kern w:val="0"/>
                <w:sz w:val="24"/>
              </w:rPr>
            </w:pPr>
            <w:r>
              <w:rPr>
                <w:rFonts w:hint="eastAsia" w:ascii="宋体" w:hAnsi="宋体"/>
                <w:kern w:val="0"/>
                <w:sz w:val="24"/>
              </w:rPr>
              <w:t>*</w:t>
            </w:r>
          </w:p>
        </w:tc>
        <w:tc>
          <w:tcPr>
            <w:tcW w:w="3044" w:type="dxa"/>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≥36%</w:t>
            </w:r>
          </w:p>
        </w:tc>
        <w:tc>
          <w:tcPr>
            <w:tcW w:w="2685" w:type="dxa"/>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建成区绿地率</w:t>
            </w:r>
            <w:r>
              <w:rPr>
                <w:rFonts w:hint="eastAsia" w:ascii="仿宋_GB2312" w:hAnsi="宋体" w:eastAsia="仿宋_GB2312" w:cs="宋体"/>
                <w:kern w:val="0"/>
                <w:sz w:val="24"/>
              </w:rPr>
              <w:t>(%)</w:t>
            </w:r>
          </w:p>
        </w:tc>
        <w:tc>
          <w:tcPr>
            <w:tcW w:w="359" w:type="dxa"/>
            <w:shd w:val="clear" w:color="auto" w:fill="auto"/>
            <w:vAlign w:val="center"/>
          </w:tcPr>
          <w:p>
            <w:pPr>
              <w:spacing w:line="360" w:lineRule="exact"/>
              <w:jc w:val="center"/>
              <w:rPr>
                <w:rFonts w:hint="eastAsia" w:ascii="仿宋_GB2312" w:hAnsi="宋体" w:eastAsia="仿宋_GB2312"/>
                <w:kern w:val="0"/>
                <w:sz w:val="24"/>
              </w:rPr>
            </w:pPr>
            <w:r>
              <w:rPr>
                <w:rFonts w:hint="eastAsia" w:ascii="宋体" w:hAnsi="宋体"/>
                <w:kern w:val="0"/>
                <w:sz w:val="24"/>
              </w:rPr>
              <w:t>*</w:t>
            </w:r>
          </w:p>
        </w:tc>
        <w:tc>
          <w:tcPr>
            <w:tcW w:w="3044" w:type="dxa"/>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≥31%</w:t>
            </w:r>
          </w:p>
        </w:tc>
        <w:tc>
          <w:tcPr>
            <w:tcW w:w="2685" w:type="dxa"/>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vMerge w:val="restart"/>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3</w:t>
            </w:r>
          </w:p>
        </w:tc>
        <w:tc>
          <w:tcPr>
            <w:tcW w:w="1318" w:type="dxa"/>
            <w:vMerge w:val="restart"/>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 xml:space="preserve">城市人均公园绿地面积  </w:t>
            </w:r>
          </w:p>
        </w:tc>
        <w:tc>
          <w:tcPr>
            <w:tcW w:w="2281" w:type="dxa"/>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人均建设用地小于80</w:t>
            </w:r>
            <w:r>
              <w:rPr>
                <w:rFonts w:hint="eastAsia" w:ascii="仿宋_GB2312" w:hAnsi="宋体"/>
                <w:kern w:val="0"/>
                <w:sz w:val="24"/>
              </w:rPr>
              <w:t>㎡</w:t>
            </w:r>
            <w:r>
              <w:rPr>
                <w:rFonts w:hint="eastAsia" w:ascii="仿宋_GB2312" w:hAnsi="宋体" w:eastAsia="仿宋_GB2312"/>
                <w:kern w:val="0"/>
                <w:sz w:val="24"/>
              </w:rPr>
              <w:t>的城市</w:t>
            </w:r>
          </w:p>
        </w:tc>
        <w:tc>
          <w:tcPr>
            <w:tcW w:w="359" w:type="dxa"/>
            <w:vMerge w:val="restart"/>
            <w:shd w:val="clear" w:color="auto" w:fill="auto"/>
            <w:vAlign w:val="center"/>
          </w:tcPr>
          <w:p>
            <w:pPr>
              <w:spacing w:line="36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≥7.50㎡/人</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1318" w:type="dxa"/>
            <w:vMerge w:val="continue"/>
            <w:shd w:val="clear" w:color="auto" w:fill="auto"/>
            <w:vAlign w:val="center"/>
          </w:tcPr>
          <w:p>
            <w:pPr>
              <w:spacing w:line="360" w:lineRule="exact"/>
              <w:rPr>
                <w:rFonts w:hint="eastAsia" w:ascii="仿宋_GB2312" w:hAnsi="宋体" w:eastAsia="仿宋_GB2312"/>
                <w:kern w:val="0"/>
                <w:sz w:val="24"/>
              </w:rPr>
            </w:pPr>
          </w:p>
        </w:tc>
        <w:tc>
          <w:tcPr>
            <w:tcW w:w="2281" w:type="dxa"/>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人均建设用地80～100</w:t>
            </w:r>
            <w:r>
              <w:rPr>
                <w:rFonts w:hint="eastAsia" w:ascii="仿宋_GB2312" w:hAnsi="宋体"/>
                <w:kern w:val="0"/>
                <w:sz w:val="24"/>
              </w:rPr>
              <w:t>㎡</w:t>
            </w:r>
            <w:r>
              <w:rPr>
                <w:rFonts w:hint="eastAsia" w:ascii="仿宋_GB2312" w:hAnsi="宋体" w:eastAsia="仿宋_GB2312"/>
                <w:kern w:val="0"/>
                <w:sz w:val="24"/>
              </w:rPr>
              <w:t>的城市</w:t>
            </w:r>
          </w:p>
        </w:tc>
        <w:tc>
          <w:tcPr>
            <w:tcW w:w="359" w:type="dxa"/>
            <w:vMerge w:val="continue"/>
            <w:shd w:val="clear" w:color="auto" w:fill="auto"/>
            <w:vAlign w:val="center"/>
          </w:tcPr>
          <w:p>
            <w:pPr>
              <w:spacing w:line="360" w:lineRule="exact"/>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≥8.00㎡/人</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1318" w:type="dxa"/>
            <w:vMerge w:val="continue"/>
            <w:shd w:val="clear" w:color="auto" w:fill="auto"/>
            <w:vAlign w:val="center"/>
          </w:tcPr>
          <w:p>
            <w:pPr>
              <w:spacing w:line="360" w:lineRule="exact"/>
              <w:rPr>
                <w:rFonts w:hint="eastAsia" w:ascii="仿宋_GB2312" w:hAnsi="宋体" w:eastAsia="仿宋_GB2312"/>
                <w:kern w:val="0"/>
                <w:sz w:val="24"/>
              </w:rPr>
            </w:pPr>
          </w:p>
        </w:tc>
        <w:tc>
          <w:tcPr>
            <w:tcW w:w="2281" w:type="dxa"/>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人均建设用地大于100</w:t>
            </w:r>
            <w:r>
              <w:rPr>
                <w:rFonts w:hint="eastAsia" w:ascii="仿宋_GB2312" w:hAnsi="宋体"/>
                <w:kern w:val="0"/>
                <w:sz w:val="24"/>
              </w:rPr>
              <w:t>㎡</w:t>
            </w:r>
            <w:r>
              <w:rPr>
                <w:rFonts w:hint="eastAsia" w:ascii="仿宋_GB2312" w:hAnsi="宋体" w:eastAsia="仿宋_GB2312"/>
                <w:kern w:val="0"/>
                <w:sz w:val="24"/>
              </w:rPr>
              <w:t>的城市</w:t>
            </w:r>
          </w:p>
        </w:tc>
        <w:tc>
          <w:tcPr>
            <w:tcW w:w="359" w:type="dxa"/>
            <w:vMerge w:val="continue"/>
            <w:shd w:val="clear" w:color="auto" w:fill="auto"/>
            <w:vAlign w:val="center"/>
          </w:tcPr>
          <w:p>
            <w:pPr>
              <w:spacing w:line="360" w:lineRule="exact"/>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≥9.00㎡/人</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4</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建成区绿化覆盖面积中乔、灌木所占比率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≥60%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5</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城市各城区绿地率最低值</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≥25%</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6</w:t>
            </w:r>
          </w:p>
        </w:tc>
        <w:tc>
          <w:tcPr>
            <w:tcW w:w="3599" w:type="dxa"/>
            <w:gridSpan w:val="2"/>
            <w:shd w:val="clear" w:color="auto" w:fill="auto"/>
            <w:vAlign w:val="center"/>
          </w:tcPr>
          <w:p>
            <w:pPr>
              <w:spacing w:line="360" w:lineRule="exact"/>
              <w:rPr>
                <w:rFonts w:hint="eastAsia" w:ascii="仿宋_GB2312" w:hAnsi="宋体" w:eastAsia="仿宋_GB2312"/>
                <w:w w:val="88"/>
                <w:kern w:val="0"/>
                <w:sz w:val="24"/>
              </w:rPr>
            </w:pPr>
            <w:r>
              <w:rPr>
                <w:rFonts w:hint="eastAsia" w:ascii="仿宋_GB2312" w:hAnsi="宋体" w:eastAsia="仿宋_GB2312"/>
                <w:w w:val="88"/>
                <w:kern w:val="0"/>
                <w:sz w:val="24"/>
              </w:rPr>
              <w:t>城市各城区人均公园绿地面积最低值</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≥5.00㎡/人</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7</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公园绿地服务半径覆盖率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≥70%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8</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万人拥有综合公园指数</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≥0.06</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9</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城市道路绿化普及率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≥95%</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10</w:t>
            </w:r>
          </w:p>
        </w:tc>
        <w:tc>
          <w:tcPr>
            <w:tcW w:w="3599" w:type="dxa"/>
            <w:gridSpan w:val="2"/>
            <w:shd w:val="clear" w:color="auto" w:fill="auto"/>
            <w:vAlign w:val="center"/>
          </w:tcPr>
          <w:p>
            <w:pPr>
              <w:spacing w:line="360" w:lineRule="exact"/>
              <w:rPr>
                <w:rFonts w:hint="eastAsia" w:ascii="仿宋_GB2312" w:hAnsi="宋体" w:eastAsia="仿宋_GB2312"/>
                <w:w w:val="88"/>
                <w:kern w:val="0"/>
                <w:sz w:val="24"/>
              </w:rPr>
            </w:pPr>
            <w:r>
              <w:rPr>
                <w:rFonts w:hint="eastAsia" w:ascii="仿宋_GB2312" w:hAnsi="宋体" w:eastAsia="仿宋_GB2312"/>
                <w:w w:val="88"/>
                <w:kern w:val="0"/>
                <w:sz w:val="24"/>
              </w:rPr>
              <w:t>城市新建、改建居住区绿地达标率</w:t>
            </w:r>
            <w:r>
              <w:rPr>
                <w:rFonts w:hint="eastAsia" w:ascii="仿宋_GB2312" w:hAnsi="宋体" w:eastAsia="仿宋_GB2312" w:cs="宋体"/>
                <w:w w:val="88"/>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≥95%</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11</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城市公共设施绿地达标率</w:t>
            </w:r>
            <w:r>
              <w:rPr>
                <w:rFonts w:hint="eastAsia" w:ascii="仿宋_GB2312" w:hAnsi="宋体" w:eastAsia="仿宋_GB2312" w:cs="宋体"/>
                <w:w w:val="88"/>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≥95%</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12</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城市防护绿地实施率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13</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生产绿地占建成区面积比率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14</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城市道路绿地达标率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15</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大于40hm</w:t>
            </w:r>
            <w:r>
              <w:rPr>
                <w:rFonts w:hint="eastAsia" w:ascii="仿宋_GB2312" w:hAnsi="宋体"/>
                <w:kern w:val="0"/>
                <w:sz w:val="24"/>
              </w:rPr>
              <w:t>²</w:t>
            </w:r>
            <w:r>
              <w:rPr>
                <w:rFonts w:hint="eastAsia" w:ascii="仿宋_GB2312" w:hAnsi="宋体" w:eastAsia="仿宋_GB2312"/>
                <w:kern w:val="0"/>
                <w:sz w:val="24"/>
              </w:rPr>
              <w:t xml:space="preserve"> 的植物园数量</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≥1.00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16</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林荫停车场推广率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≥60%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95" w:type="dxa"/>
            <w:vMerge w:val="continue"/>
            <w:shd w:val="clear" w:color="auto" w:fill="auto"/>
            <w:vAlign w:val="center"/>
          </w:tcPr>
          <w:p>
            <w:pPr>
              <w:spacing w:line="360" w:lineRule="exact"/>
              <w:jc w:val="center"/>
              <w:rPr>
                <w:rFonts w:hint="eastAsia" w:ascii="仿宋_GB2312" w:hAnsi="宋体" w:eastAsia="仿宋_GB2312"/>
                <w:b/>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17</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河道绿化普及率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18</w:t>
            </w:r>
          </w:p>
        </w:tc>
        <w:tc>
          <w:tcPr>
            <w:tcW w:w="3599" w:type="dxa"/>
            <w:gridSpan w:val="2"/>
            <w:shd w:val="clear" w:color="auto" w:fill="auto"/>
            <w:vAlign w:val="center"/>
          </w:tcPr>
          <w:p>
            <w:pPr>
              <w:spacing w:line="360" w:lineRule="exact"/>
              <w:rPr>
                <w:rFonts w:hint="eastAsia" w:ascii="仿宋_GB2312" w:hAnsi="宋体" w:eastAsia="仿宋_GB2312"/>
                <w:w w:val="90"/>
                <w:kern w:val="0"/>
                <w:sz w:val="24"/>
              </w:rPr>
            </w:pPr>
            <w:r>
              <w:rPr>
                <w:rFonts w:hint="eastAsia" w:ascii="仿宋_GB2312" w:hAnsi="宋体" w:eastAsia="仿宋_GB2312"/>
                <w:w w:val="90"/>
                <w:kern w:val="0"/>
                <w:sz w:val="24"/>
              </w:rPr>
              <w:t>受损弃置地生态与景观恢复率</w:t>
            </w:r>
            <w:r>
              <w:rPr>
                <w:rFonts w:hint="eastAsia" w:ascii="仿宋_GB2312" w:hAnsi="宋体" w:eastAsia="仿宋_GB2312" w:cs="宋体"/>
                <w:w w:val="90"/>
                <w:kern w:val="0"/>
                <w:sz w:val="24"/>
              </w:rPr>
              <w:t>(%)</w:t>
            </w:r>
          </w:p>
        </w:tc>
        <w:tc>
          <w:tcPr>
            <w:tcW w:w="359" w:type="dxa"/>
            <w:shd w:val="clear" w:color="auto" w:fill="auto"/>
            <w:vAlign w:val="center"/>
          </w:tcPr>
          <w:p>
            <w:pPr>
              <w:spacing w:line="36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restart"/>
            <w:shd w:val="clear" w:color="auto" w:fill="auto"/>
            <w:vAlign w:val="center"/>
          </w:tcPr>
          <w:p>
            <w:pPr>
              <w:spacing w:line="320" w:lineRule="exact"/>
              <w:rPr>
                <w:rFonts w:hint="eastAsia" w:ascii="仿宋_GB2312" w:hAnsi="宋体" w:eastAsia="仿宋_GB2312"/>
                <w:b/>
                <w:kern w:val="0"/>
                <w:sz w:val="24"/>
              </w:rPr>
            </w:pPr>
          </w:p>
          <w:p>
            <w:pPr>
              <w:spacing w:line="320" w:lineRule="exact"/>
              <w:rPr>
                <w:rFonts w:hint="eastAsia" w:ascii="仿宋_GB2312" w:hAnsi="宋体" w:eastAsia="仿宋_GB2312"/>
                <w:b/>
                <w:kern w:val="0"/>
                <w:sz w:val="24"/>
              </w:rPr>
            </w:pPr>
            <w:r>
              <w:rPr>
                <w:rFonts w:hint="eastAsia" w:ascii="仿宋_GB2312" w:hAnsi="宋体" w:eastAsia="仿宋_GB2312"/>
                <w:b/>
                <w:kern w:val="0"/>
                <w:sz w:val="24"/>
              </w:rPr>
              <w:t>3</w:t>
            </w:r>
          </w:p>
          <w:p>
            <w:pPr>
              <w:spacing w:line="320" w:lineRule="exact"/>
              <w:rPr>
                <w:rFonts w:hint="eastAsia" w:ascii="仿宋_GB2312" w:hAnsi="宋体" w:eastAsia="仿宋_GB2312"/>
                <w:b/>
                <w:kern w:val="0"/>
                <w:sz w:val="24"/>
              </w:rPr>
            </w:pPr>
            <w:r>
              <w:rPr>
                <w:rFonts w:hint="eastAsia" w:ascii="仿宋_GB2312" w:hAnsi="宋体" w:eastAsia="仿宋_GB2312"/>
                <w:b/>
                <w:kern w:val="0"/>
                <w:sz w:val="24"/>
              </w:rPr>
              <w:t>建设</w:t>
            </w:r>
          </w:p>
          <w:p>
            <w:pPr>
              <w:spacing w:line="320" w:lineRule="exact"/>
              <w:rPr>
                <w:rFonts w:hint="eastAsia" w:ascii="仿宋_GB2312" w:hAnsi="宋体" w:eastAsia="仿宋_GB2312"/>
                <w:b/>
                <w:kern w:val="0"/>
                <w:sz w:val="24"/>
              </w:rPr>
            </w:pPr>
            <w:r>
              <w:rPr>
                <w:rFonts w:hint="eastAsia" w:ascii="仿宋_GB2312" w:hAnsi="宋体" w:eastAsia="仿宋_GB2312"/>
                <w:b/>
                <w:kern w:val="0"/>
                <w:sz w:val="24"/>
              </w:rPr>
              <w:t>管控</w:t>
            </w: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1</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城市园林绿化综合评价值</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城市公园绿地功能性评价值</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3</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城市公园绿地景观性评价值</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4</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城市公园绿地文化性评价值</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5</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城市道路绿化评价值</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6</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公园管理规范化率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7</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古树名木保护率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≥95%</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60" w:lineRule="exact"/>
              <w:jc w:val="center"/>
              <w:rPr>
                <w:rFonts w:hint="eastAsia" w:ascii="仿宋_GB2312" w:hAnsi="宋体" w:eastAsia="仿宋_GB2312"/>
                <w:b/>
                <w:kern w:val="0"/>
                <w:sz w:val="24"/>
              </w:rPr>
            </w:pPr>
            <w:r>
              <w:rPr>
                <w:rFonts w:hint="eastAsia" w:ascii="仿宋_GB2312" w:hAnsi="宋体" w:eastAsia="仿宋_GB2312"/>
                <w:b/>
                <w:kern w:val="0"/>
                <w:sz w:val="24"/>
              </w:rPr>
              <w:t>8</w:t>
            </w:r>
          </w:p>
        </w:tc>
        <w:tc>
          <w:tcPr>
            <w:tcW w:w="3599" w:type="dxa"/>
            <w:gridSpan w:val="2"/>
            <w:shd w:val="clear" w:color="auto" w:fill="auto"/>
            <w:vAlign w:val="center"/>
          </w:tcPr>
          <w:p>
            <w:pPr>
              <w:spacing w:line="360" w:lineRule="exact"/>
              <w:rPr>
                <w:rFonts w:hint="eastAsia" w:ascii="仿宋_GB2312" w:hAnsi="宋体" w:eastAsia="仿宋_GB2312"/>
                <w:kern w:val="0"/>
                <w:sz w:val="24"/>
              </w:rPr>
            </w:pPr>
            <w:r>
              <w:rPr>
                <w:rFonts w:hint="eastAsia" w:ascii="仿宋_GB2312" w:hAnsi="宋体" w:eastAsia="仿宋_GB2312"/>
                <w:kern w:val="0"/>
                <w:sz w:val="24"/>
              </w:rPr>
              <w:t>节约型绿地建设率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≥60%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9</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立体绿化推广</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w w:val="90"/>
                <w:sz w:val="24"/>
              </w:rPr>
            </w:pPr>
            <w:r>
              <w:rPr>
                <w:rFonts w:hint="eastAsia" w:ascii="仿宋_GB2312" w:hAnsi="宋体" w:eastAsia="仿宋_GB2312"/>
                <w:w w:val="90"/>
                <w:sz w:val="24"/>
              </w:rPr>
              <w:t>已制定立体绿化推广的鼓励政策、技术措施和实施方案，且实施效果明显。</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10</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仿宋_GB2312"/>
                <w:kern w:val="0"/>
                <w:sz w:val="24"/>
              </w:rPr>
              <w:t>城市“其他绿地”控制</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w w:val="90"/>
                <w:sz w:val="24"/>
              </w:rPr>
            </w:pPr>
            <w:r>
              <w:rPr>
                <w:rFonts w:hint="eastAsia" w:ascii="仿宋_GB2312" w:hAnsi="宋体" w:eastAsia="仿宋_GB2312"/>
                <w:w w:val="90"/>
                <w:sz w:val="24"/>
              </w:rPr>
              <w:t>①依据《城市绿地系统规划》要求，建立城乡一体的绿地系统；②城市郊野公园、风景林地、城市绿化隔离带等“其他绿地”得到有效保护和合理利用。</w:t>
            </w:r>
          </w:p>
        </w:tc>
        <w:tc>
          <w:tcPr>
            <w:tcW w:w="2685" w:type="dxa"/>
            <w:shd w:val="clear" w:color="auto" w:fill="auto"/>
            <w:vAlign w:val="center"/>
          </w:tcPr>
          <w:p>
            <w:pPr>
              <w:spacing w:line="320" w:lineRule="exact"/>
              <w:jc w:val="center"/>
              <w:rPr>
                <w:rFonts w:hint="eastAsia" w:ascii="仿宋_GB2312" w:eastAsia="仿宋_GB2312" w:cs="宋体"/>
                <w:kern w:val="0"/>
                <w:sz w:val="24"/>
              </w:rPr>
            </w:pPr>
            <w:r>
              <w:rPr>
                <w:rFonts w:hint="eastAsia" w:ascii="仿宋_GB2312" w:hAnsi="宋体" w:eastAsia="仿宋_GB2312" w:cs="宋体"/>
                <w:kern w:val="0"/>
                <w:sz w:val="24"/>
              </w:rPr>
              <w:t>-</w:t>
            </w:r>
          </w:p>
        </w:tc>
      </w:tr>
      <w:tr>
        <w:tblPrEx>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11</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宋体"/>
                <w:kern w:val="0"/>
                <w:sz w:val="24"/>
              </w:rPr>
              <w:t>生物防治推广率(%)</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≥50%</w:t>
            </w:r>
          </w:p>
        </w:tc>
        <w:tc>
          <w:tcPr>
            <w:tcW w:w="2685" w:type="dxa"/>
            <w:shd w:val="clear" w:color="auto" w:fill="auto"/>
            <w:vAlign w:val="center"/>
          </w:tcPr>
          <w:p>
            <w:pPr>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12</w:t>
            </w:r>
          </w:p>
        </w:tc>
        <w:tc>
          <w:tcPr>
            <w:tcW w:w="3599" w:type="dxa"/>
            <w:gridSpan w:val="2"/>
            <w:shd w:val="clear" w:color="auto" w:fill="auto"/>
            <w:vAlign w:val="center"/>
          </w:tcPr>
          <w:p>
            <w:pPr>
              <w:spacing w:line="320" w:lineRule="exact"/>
              <w:rPr>
                <w:rFonts w:hint="eastAsia" w:ascii="仿宋_GB2312" w:hAnsi="宋体" w:eastAsia="仿宋_GB2312"/>
                <w:w w:val="90"/>
                <w:kern w:val="0"/>
                <w:sz w:val="24"/>
              </w:rPr>
            </w:pPr>
            <w:r>
              <w:rPr>
                <w:rFonts w:hint="eastAsia" w:ascii="仿宋_GB2312" w:hAnsi="宋体" w:eastAsia="仿宋_GB2312"/>
                <w:w w:val="90"/>
                <w:kern w:val="0"/>
                <w:sz w:val="24"/>
              </w:rPr>
              <w:t>公园绿地应急避险场所实施率</w:t>
            </w:r>
            <w:r>
              <w:rPr>
                <w:rFonts w:hint="eastAsia" w:ascii="仿宋_GB2312" w:hAnsi="宋体" w:eastAsia="仿宋_GB2312" w:cs="宋体"/>
                <w:w w:val="90"/>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≥70%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13</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水体岸线自然化率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widowControl/>
              <w:spacing w:line="320" w:lineRule="exact"/>
              <w:jc w:val="left"/>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14</w:t>
            </w:r>
          </w:p>
        </w:tc>
        <w:tc>
          <w:tcPr>
            <w:tcW w:w="3599" w:type="dxa"/>
            <w:gridSpan w:val="2"/>
            <w:shd w:val="clear" w:color="auto" w:fill="auto"/>
            <w:vAlign w:val="center"/>
          </w:tcPr>
          <w:p>
            <w:pPr>
              <w:spacing w:line="320" w:lineRule="exact"/>
              <w:rPr>
                <w:rFonts w:hint="eastAsia" w:ascii="仿宋_GB2312" w:hAnsi="宋体" w:eastAsia="仿宋_GB2312"/>
                <w:sz w:val="24"/>
              </w:rPr>
            </w:pPr>
            <w:r>
              <w:rPr>
                <w:rFonts w:hint="eastAsia" w:ascii="仿宋_GB2312" w:hAnsi="宋体" w:eastAsia="仿宋_GB2312"/>
                <w:sz w:val="24"/>
              </w:rPr>
              <w:t>城市历史风貌保护</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w w:val="90"/>
                <w:sz w:val="24"/>
              </w:rPr>
            </w:pPr>
            <w:r>
              <w:rPr>
                <w:rFonts w:hint="eastAsia" w:ascii="仿宋_GB2312" w:hAnsi="宋体" w:eastAsia="仿宋_GB2312"/>
                <w:w w:val="90"/>
                <w:sz w:val="24"/>
              </w:rPr>
              <w:t>①已划定城市紫线，制定《历史文化名城保护规划》或城市历史风貌保护规划，经过审批，实施效果良好；②城市历史文化街区得到有效保护。</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15</w:t>
            </w:r>
          </w:p>
        </w:tc>
        <w:tc>
          <w:tcPr>
            <w:tcW w:w="3599" w:type="dxa"/>
            <w:gridSpan w:val="2"/>
            <w:tcBorders>
              <w:bottom w:val="single" w:color="auto" w:sz="4" w:space="0"/>
            </w:tcBorders>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风景名胜区、文化与自然遗产保护与管理</w:t>
            </w:r>
          </w:p>
        </w:tc>
        <w:tc>
          <w:tcPr>
            <w:tcW w:w="359" w:type="dxa"/>
            <w:tcBorders>
              <w:bottom w:val="single" w:color="auto" w:sz="4" w:space="0"/>
            </w:tcBorders>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w w:val="90"/>
                <w:sz w:val="24"/>
              </w:rPr>
            </w:pPr>
            <w:r>
              <w:rPr>
                <w:rFonts w:hint="eastAsia" w:ascii="仿宋_GB2312" w:hAnsi="宋体" w:eastAsia="仿宋_GB2312"/>
                <w:w w:val="90"/>
                <w:sz w:val="24"/>
              </w:rPr>
              <w:t>国家级风景名胜区或列入世界遗产名录的文化或自然遗产严格依据《风景名胜区条例》和相关法律法规进行保护管理。</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395" w:type="dxa"/>
            <w:vMerge w:val="restart"/>
            <w:shd w:val="clear" w:color="auto" w:fill="auto"/>
            <w:vAlign w:val="center"/>
          </w:tcPr>
          <w:p>
            <w:pPr>
              <w:spacing w:line="320" w:lineRule="exact"/>
              <w:jc w:val="center"/>
              <w:rPr>
                <w:rFonts w:hint="eastAsia" w:ascii="仿宋_GB2312" w:hAnsi="宋体" w:eastAsia="仿宋_GB2312"/>
                <w:b/>
                <w:kern w:val="0"/>
                <w:sz w:val="24"/>
              </w:rPr>
            </w:pPr>
          </w:p>
          <w:p>
            <w:pPr>
              <w:spacing w:line="320" w:lineRule="exact"/>
              <w:jc w:val="center"/>
              <w:rPr>
                <w:rFonts w:hint="eastAsia" w:ascii="仿宋_GB2312" w:hAnsi="宋体" w:eastAsia="仿宋_GB2312"/>
                <w:b/>
                <w:kern w:val="0"/>
                <w:sz w:val="24"/>
              </w:rPr>
            </w:pPr>
          </w:p>
          <w:p>
            <w:pPr>
              <w:spacing w:line="320" w:lineRule="exact"/>
              <w:jc w:val="center"/>
              <w:rPr>
                <w:rFonts w:hint="eastAsia" w:ascii="仿宋_GB2312" w:hAnsi="宋体" w:eastAsia="仿宋_GB2312"/>
                <w:b/>
                <w:kern w:val="0"/>
                <w:sz w:val="24"/>
              </w:rPr>
            </w:pPr>
          </w:p>
          <w:p>
            <w:pPr>
              <w:spacing w:line="320" w:lineRule="exact"/>
              <w:jc w:val="center"/>
              <w:rPr>
                <w:rFonts w:hint="eastAsia" w:ascii="仿宋_GB2312" w:hAnsi="宋体" w:eastAsia="仿宋_GB2312"/>
                <w:b/>
                <w:kern w:val="0"/>
                <w:sz w:val="24"/>
              </w:rPr>
            </w:pPr>
          </w:p>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4</w:t>
            </w:r>
          </w:p>
          <w:p>
            <w:pPr>
              <w:spacing w:line="320" w:lineRule="exact"/>
              <w:jc w:val="center"/>
              <w:rPr>
                <w:rFonts w:hint="eastAsia" w:ascii="仿宋_GB2312" w:hAnsi="宋体" w:eastAsia="仿宋_GB2312"/>
                <w:kern w:val="0"/>
                <w:sz w:val="24"/>
              </w:rPr>
            </w:pPr>
            <w:r>
              <w:rPr>
                <w:rFonts w:hint="eastAsia" w:ascii="仿宋_GB2312" w:hAnsi="宋体" w:eastAsia="仿宋_GB2312"/>
                <w:b/>
                <w:kern w:val="0"/>
                <w:sz w:val="24"/>
              </w:rPr>
              <w:t>生态环境</w:t>
            </w: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w:t>
            </w:r>
          </w:p>
        </w:tc>
        <w:tc>
          <w:tcPr>
            <w:tcW w:w="3599" w:type="dxa"/>
            <w:gridSpan w:val="2"/>
            <w:shd w:val="clear" w:color="auto" w:fill="auto"/>
            <w:vAlign w:val="center"/>
          </w:tcPr>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年空气污染指数小于或等于100的天数</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ind w:right="280"/>
              <w:jc w:val="center"/>
              <w:rPr>
                <w:rFonts w:hint="eastAsia" w:ascii="仿宋_GB2312" w:hAnsi="宋体" w:eastAsia="仿宋_GB2312"/>
                <w:sz w:val="24"/>
              </w:rPr>
            </w:pPr>
            <w:r>
              <w:rPr>
                <w:rFonts w:hint="eastAsia" w:ascii="仿宋_GB2312" w:hAnsi="宋体" w:eastAsia="仿宋_GB2312"/>
                <w:sz w:val="24"/>
              </w:rPr>
              <w:t>≥240天</w:t>
            </w:r>
          </w:p>
        </w:tc>
        <w:tc>
          <w:tcPr>
            <w:tcW w:w="2685" w:type="dxa"/>
            <w:shd w:val="clear" w:color="auto" w:fill="auto"/>
            <w:vAlign w:val="center"/>
          </w:tcPr>
          <w:p>
            <w:pPr>
              <w:spacing w:line="320" w:lineRule="exact"/>
              <w:ind w:right="280"/>
              <w:jc w:val="center"/>
              <w:rPr>
                <w:rFonts w:hint="eastAsia" w:ascii="仿宋_GB2312" w:hAnsi="宋体" w:eastAsia="仿宋_GB2312" w:cs="宋体"/>
                <w:kern w:val="0"/>
                <w:sz w:val="24"/>
              </w:rPr>
            </w:pPr>
            <w:r>
              <w:rPr>
                <w:rFonts w:hint="eastAsia" w:ascii="仿宋_GB2312" w:hAnsi="宋体" w:eastAsia="仿宋_GB2312"/>
                <w:sz w:val="24"/>
              </w:rPr>
              <w:t>≥300天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地表水Ⅳ类及以上水体比率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≥50%</w:t>
            </w:r>
          </w:p>
        </w:tc>
        <w:tc>
          <w:tcPr>
            <w:tcW w:w="2685"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sz w:val="24"/>
              </w:rPr>
              <w:t>地表水</w:t>
            </w:r>
            <w:r>
              <w:rPr>
                <w:rFonts w:hint="eastAsia" w:ascii="仿宋_GB2312" w:hAnsi="宋体" w:eastAsia="仿宋_GB2312" w:cs="宋体"/>
                <w:kern w:val="0"/>
                <w:sz w:val="24"/>
              </w:rPr>
              <w:t>达标率100%,且市区内无IV类以下水体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3</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区域环境噪声平均值</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≤56.00dB(A)</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≤54.00dB(A)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4</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城市热岛效应强度</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≤3.0℃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5</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本地木本植物指数</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≥0.80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6</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生物多样性保护</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w w:val="90"/>
                <w:sz w:val="24"/>
              </w:rPr>
            </w:pPr>
            <w:r>
              <w:rPr>
                <w:rFonts w:hint="eastAsia" w:ascii="仿宋_GB2312" w:hAnsi="宋体" w:eastAsia="仿宋_GB2312"/>
                <w:w w:val="90"/>
                <w:sz w:val="24"/>
              </w:rPr>
              <w:t>①已完成不小于城市市域范围的生物物种资源普查；②已制定《城市生物多样性保护规划》和实施措施。</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7</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城市湿地资源保护</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280" w:lineRule="exact"/>
              <w:rPr>
                <w:rFonts w:hint="eastAsia" w:ascii="仿宋_GB2312" w:hAnsi="宋体" w:eastAsia="仿宋_GB2312"/>
                <w:w w:val="90"/>
                <w:sz w:val="24"/>
              </w:rPr>
            </w:pPr>
            <w:r>
              <w:rPr>
                <w:rFonts w:hint="eastAsia" w:ascii="仿宋_GB2312" w:hAnsi="宋体" w:eastAsia="仿宋_GB2312"/>
                <w:w w:val="90"/>
                <w:sz w:val="24"/>
              </w:rPr>
              <w:t>①已完成城市规划区内的湿地资源普查；②已制定城市湿地资源保护规划和实施措施。</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restart"/>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5</w:t>
            </w:r>
          </w:p>
          <w:p>
            <w:pPr>
              <w:spacing w:line="320" w:lineRule="exact"/>
              <w:jc w:val="center"/>
              <w:rPr>
                <w:rFonts w:hint="eastAsia" w:ascii="仿宋_GB2312" w:hAnsi="宋体" w:eastAsia="仿宋_GB2312"/>
                <w:kern w:val="0"/>
                <w:sz w:val="24"/>
              </w:rPr>
            </w:pPr>
            <w:r>
              <w:rPr>
                <w:rFonts w:hint="eastAsia" w:ascii="仿宋_GB2312" w:hAnsi="宋体" w:eastAsia="仿宋_GB2312"/>
                <w:b/>
                <w:kern w:val="0"/>
                <w:sz w:val="24"/>
              </w:rPr>
              <w:t>节能减排</w:t>
            </w: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w:t>
            </w:r>
          </w:p>
        </w:tc>
        <w:tc>
          <w:tcPr>
            <w:tcW w:w="3599" w:type="dxa"/>
            <w:gridSpan w:val="2"/>
            <w:shd w:val="clear" w:color="auto" w:fill="auto"/>
            <w:vAlign w:val="center"/>
          </w:tcPr>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北方采暖地区住宅供热计量收费比例(%)</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sz w:val="24"/>
              </w:rPr>
              <w:t>≥25%</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tc>
        <w:tc>
          <w:tcPr>
            <w:tcW w:w="3599" w:type="dxa"/>
            <w:gridSpan w:val="2"/>
            <w:shd w:val="clear" w:color="auto" w:fill="auto"/>
            <w:vAlign w:val="center"/>
          </w:tcPr>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节能建筑比例(%)</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00" w:lineRule="exact"/>
              <w:rPr>
                <w:rFonts w:hint="eastAsia" w:ascii="仿宋_GB2312" w:hAnsi="宋体" w:eastAsia="仿宋_GB2312"/>
                <w:sz w:val="24"/>
              </w:rPr>
            </w:pPr>
            <w:r>
              <w:rPr>
                <w:rFonts w:hint="eastAsia" w:ascii="仿宋_GB2312" w:hAnsi="宋体" w:eastAsia="仿宋_GB2312"/>
                <w:sz w:val="24"/>
              </w:rPr>
              <w:t>严寒及寒冷地区≥40%</w:t>
            </w:r>
          </w:p>
          <w:p>
            <w:pPr>
              <w:spacing w:line="300" w:lineRule="exact"/>
              <w:rPr>
                <w:rFonts w:hint="eastAsia" w:ascii="仿宋_GB2312" w:hAnsi="宋体" w:eastAsia="仿宋_GB2312"/>
                <w:sz w:val="24"/>
              </w:rPr>
            </w:pPr>
            <w:r>
              <w:rPr>
                <w:rFonts w:hint="eastAsia" w:ascii="仿宋_GB2312" w:hAnsi="宋体" w:eastAsia="仿宋_GB2312"/>
                <w:sz w:val="24"/>
              </w:rPr>
              <w:t>夏热冬冷地区≥35%</w:t>
            </w:r>
          </w:p>
          <w:p>
            <w:pPr>
              <w:spacing w:line="300" w:lineRule="exact"/>
              <w:rPr>
                <w:rFonts w:hint="eastAsia" w:ascii="仿宋_GB2312" w:hAnsi="宋体" w:eastAsia="仿宋_GB2312"/>
                <w:sz w:val="24"/>
              </w:rPr>
            </w:pPr>
            <w:r>
              <w:rPr>
                <w:rFonts w:hint="eastAsia" w:ascii="仿宋_GB2312" w:hAnsi="宋体" w:eastAsia="仿宋_GB2312"/>
                <w:sz w:val="24"/>
              </w:rPr>
              <w:t>夏热冬暖地区≥30%</w:t>
            </w:r>
          </w:p>
        </w:tc>
        <w:tc>
          <w:tcPr>
            <w:tcW w:w="2685" w:type="dxa"/>
            <w:shd w:val="clear" w:color="auto" w:fill="auto"/>
            <w:vAlign w:val="center"/>
          </w:tcPr>
          <w:p>
            <w:pPr>
              <w:spacing w:line="300" w:lineRule="exact"/>
              <w:rPr>
                <w:rFonts w:hint="eastAsia" w:ascii="仿宋_GB2312" w:hAnsi="宋体" w:eastAsia="仿宋_GB2312"/>
                <w:sz w:val="24"/>
              </w:rPr>
            </w:pPr>
            <w:r>
              <w:rPr>
                <w:rFonts w:hint="eastAsia" w:ascii="仿宋_GB2312" w:hAnsi="宋体" w:eastAsia="仿宋_GB2312"/>
                <w:sz w:val="24"/>
              </w:rPr>
              <w:t>严寒及寒冷地区≥50%夏热冬冷地区≥45%</w:t>
            </w:r>
          </w:p>
          <w:p>
            <w:pPr>
              <w:spacing w:line="300" w:lineRule="exact"/>
              <w:rPr>
                <w:rFonts w:hint="eastAsia" w:ascii="仿宋_GB2312" w:hAnsi="宋体" w:eastAsia="仿宋_GB2312"/>
                <w:sz w:val="24"/>
              </w:rPr>
            </w:pPr>
            <w:r>
              <w:rPr>
                <w:rFonts w:hint="eastAsia" w:ascii="仿宋_GB2312" w:hAnsi="宋体" w:eastAsia="仿宋_GB2312"/>
                <w:sz w:val="24"/>
              </w:rPr>
              <w:t>夏热冬暖地区≥40%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3</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可再生能源使用比例</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280" w:lineRule="exact"/>
              <w:jc w:val="center"/>
              <w:rPr>
                <w:rFonts w:hint="eastAsia" w:ascii="仿宋_GB2312" w:hAnsi="宋体" w:eastAsia="仿宋_GB2312"/>
                <w:sz w:val="24"/>
              </w:rPr>
            </w:pPr>
            <w:r>
              <w:rPr>
                <w:rFonts w:hint="eastAsia" w:ascii="仿宋_GB2312" w:hAnsi="宋体" w:eastAsia="仿宋_GB2312" w:cs="宋体"/>
                <w:kern w:val="0"/>
                <w:sz w:val="24"/>
              </w:rPr>
              <w:t>-</w:t>
            </w:r>
          </w:p>
        </w:tc>
        <w:tc>
          <w:tcPr>
            <w:tcW w:w="2685" w:type="dxa"/>
            <w:shd w:val="clear" w:color="auto" w:fill="auto"/>
            <w:vAlign w:val="center"/>
          </w:tcPr>
          <w:p>
            <w:pPr>
              <w:spacing w:line="280" w:lineRule="exact"/>
              <w:jc w:val="center"/>
              <w:rPr>
                <w:rFonts w:hint="eastAsia" w:ascii="仿宋_GB2312" w:hAnsi="宋体" w:eastAsia="仿宋_GB2312"/>
                <w:sz w:val="24"/>
              </w:rPr>
            </w:pPr>
            <w:r>
              <w:rPr>
                <w:rFonts w:hint="eastAsia" w:ascii="仿宋_GB2312" w:hAnsi="宋体" w:eastAsia="仿宋_GB2312"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4</w:t>
            </w:r>
          </w:p>
        </w:tc>
        <w:tc>
          <w:tcPr>
            <w:tcW w:w="3599" w:type="dxa"/>
            <w:gridSpan w:val="2"/>
            <w:shd w:val="clear" w:color="auto" w:fill="auto"/>
            <w:vAlign w:val="center"/>
          </w:tcPr>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单位GDP工业固体废物排放量(千克/万元)</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c>
          <w:tcPr>
            <w:tcW w:w="2685" w:type="dxa"/>
            <w:shd w:val="clear" w:color="auto" w:fill="auto"/>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5</w:t>
            </w:r>
          </w:p>
        </w:tc>
        <w:tc>
          <w:tcPr>
            <w:tcW w:w="3599" w:type="dxa"/>
            <w:gridSpan w:val="2"/>
            <w:shd w:val="clear" w:color="auto" w:fill="auto"/>
            <w:vAlign w:val="center"/>
          </w:tcPr>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城市工业废水排放达标率(%)</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2685" w:type="dxa"/>
            <w:shd w:val="clear" w:color="auto" w:fill="auto"/>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6</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城市再生水利用率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2685" w:type="dxa"/>
            <w:shd w:val="clear" w:color="auto" w:fill="auto"/>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restart"/>
            <w:shd w:val="clear" w:color="auto" w:fill="auto"/>
            <w:vAlign w:val="center"/>
          </w:tcPr>
          <w:p>
            <w:pPr>
              <w:spacing w:line="320" w:lineRule="exact"/>
              <w:jc w:val="center"/>
              <w:rPr>
                <w:rFonts w:hint="eastAsia" w:ascii="仿宋_GB2312" w:hAnsi="宋体" w:eastAsia="仿宋_GB2312"/>
                <w:b/>
                <w:kern w:val="0"/>
                <w:sz w:val="24"/>
              </w:rPr>
            </w:pPr>
          </w:p>
          <w:p>
            <w:pPr>
              <w:spacing w:line="320" w:lineRule="exact"/>
              <w:jc w:val="center"/>
              <w:rPr>
                <w:rFonts w:hint="eastAsia" w:ascii="仿宋_GB2312" w:hAnsi="宋体" w:eastAsia="仿宋_GB2312"/>
                <w:b/>
                <w:kern w:val="0"/>
                <w:sz w:val="24"/>
              </w:rPr>
            </w:pPr>
          </w:p>
          <w:p>
            <w:pPr>
              <w:spacing w:line="320" w:lineRule="exact"/>
              <w:jc w:val="center"/>
              <w:rPr>
                <w:rFonts w:hint="eastAsia" w:ascii="仿宋_GB2312" w:hAnsi="宋体" w:eastAsia="仿宋_GB2312"/>
                <w:b/>
                <w:kern w:val="0"/>
                <w:sz w:val="24"/>
              </w:rPr>
            </w:pPr>
          </w:p>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6</w:t>
            </w:r>
          </w:p>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市政</w:t>
            </w:r>
          </w:p>
          <w:p>
            <w:pPr>
              <w:spacing w:line="320" w:lineRule="exact"/>
              <w:jc w:val="center"/>
              <w:rPr>
                <w:rFonts w:hint="eastAsia" w:ascii="仿宋_GB2312" w:hAnsi="宋体" w:eastAsia="仿宋_GB2312"/>
                <w:kern w:val="0"/>
                <w:sz w:val="24"/>
              </w:rPr>
            </w:pPr>
            <w:r>
              <w:rPr>
                <w:rFonts w:hint="eastAsia" w:ascii="仿宋_GB2312" w:hAnsi="宋体" w:eastAsia="仿宋_GB2312"/>
                <w:b/>
                <w:kern w:val="0"/>
                <w:sz w:val="24"/>
              </w:rPr>
              <w:t>设施</w:t>
            </w: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城市容貌评价值</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城市管网水检验项目合格率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≥99%</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3</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城市污水处理率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r>
              <w:rPr>
                <w:rFonts w:hint="eastAsia" w:ascii="宋体" w:hAnsi="宋体"/>
                <w:kern w:val="0"/>
                <w:sz w:val="24"/>
              </w:rPr>
              <w:t>*</w:t>
            </w:r>
          </w:p>
        </w:tc>
        <w:tc>
          <w:tcPr>
            <w:tcW w:w="3044" w:type="dxa"/>
            <w:shd w:val="clear" w:color="auto" w:fill="auto"/>
            <w:vAlign w:val="center"/>
          </w:tcPr>
          <w:p>
            <w:pPr>
              <w:spacing w:line="300" w:lineRule="exact"/>
              <w:rPr>
                <w:rFonts w:hint="eastAsia" w:ascii="仿宋_GB2312" w:hAnsi="宋体" w:eastAsia="仿宋_GB2312"/>
                <w:sz w:val="24"/>
              </w:rPr>
            </w:pPr>
            <w:r>
              <w:rPr>
                <w:rFonts w:hint="eastAsia" w:ascii="仿宋_GB2312" w:hAnsi="宋体" w:eastAsia="仿宋_GB2312"/>
                <w:sz w:val="24"/>
              </w:rPr>
              <w:t>≥80%，且不低于申报年全国设市城市平均值</w:t>
            </w:r>
          </w:p>
        </w:tc>
        <w:tc>
          <w:tcPr>
            <w:tcW w:w="2685" w:type="dxa"/>
            <w:shd w:val="clear" w:color="auto" w:fill="auto"/>
            <w:vAlign w:val="center"/>
          </w:tcPr>
          <w:p>
            <w:pPr>
              <w:spacing w:line="300" w:lineRule="exact"/>
              <w:rPr>
                <w:rFonts w:hint="eastAsia" w:ascii="仿宋_GB2312" w:hAnsi="宋体" w:eastAsia="仿宋_GB2312"/>
                <w:sz w:val="24"/>
              </w:rPr>
            </w:pPr>
            <w:r>
              <w:rPr>
                <w:rFonts w:hint="eastAsia" w:ascii="仿宋_GB2312" w:hAnsi="宋体" w:eastAsia="仿宋_GB2312"/>
                <w:sz w:val="24"/>
              </w:rPr>
              <w:t>≥90%，且不低于申报年全国设市城市平均值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4</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城市生活垃圾无害化处理率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00" w:lineRule="exact"/>
              <w:rPr>
                <w:rFonts w:hint="eastAsia" w:ascii="仿宋_GB2312" w:hAnsi="宋体" w:eastAsia="仿宋_GB2312"/>
                <w:sz w:val="24"/>
              </w:rPr>
            </w:pPr>
            <w:r>
              <w:rPr>
                <w:rFonts w:hint="eastAsia" w:ascii="仿宋_GB2312" w:hAnsi="宋体" w:eastAsia="仿宋_GB2312"/>
                <w:sz w:val="24"/>
              </w:rPr>
              <w:t>≥80%，且不低于申报年全国设市城市平均值</w:t>
            </w:r>
          </w:p>
        </w:tc>
        <w:tc>
          <w:tcPr>
            <w:tcW w:w="2685" w:type="dxa"/>
            <w:shd w:val="clear" w:color="auto" w:fill="auto"/>
            <w:vAlign w:val="center"/>
          </w:tcPr>
          <w:p>
            <w:pPr>
              <w:spacing w:line="300" w:lineRule="exact"/>
              <w:rPr>
                <w:rFonts w:hint="eastAsia" w:ascii="仿宋_GB2312" w:hAnsi="宋体" w:eastAsia="仿宋_GB2312"/>
                <w:sz w:val="24"/>
              </w:rPr>
            </w:pPr>
            <w:r>
              <w:rPr>
                <w:rFonts w:hint="eastAsia" w:ascii="仿宋_GB2312" w:hAnsi="宋体" w:eastAsia="仿宋_GB2312"/>
                <w:sz w:val="24"/>
              </w:rPr>
              <w:t>≥90%，且不低于申报年全国设市城市平均值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5</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城市道路完好率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≥95%</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6</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城市主干道平峰期平均车速</w:t>
            </w:r>
          </w:p>
        </w:tc>
        <w:tc>
          <w:tcPr>
            <w:tcW w:w="359" w:type="dxa"/>
            <w:shd w:val="clear" w:color="auto" w:fill="auto"/>
            <w:vAlign w:val="center"/>
          </w:tcPr>
          <w:p>
            <w:pPr>
              <w:spacing w:line="320" w:lineRule="exact"/>
              <w:jc w:val="center"/>
              <w:rPr>
                <w:rFonts w:hint="eastAsia" w:ascii="仿宋_GB2312" w:hAnsi="宋体" w:eastAsia="仿宋_GB2312"/>
                <w:kern w:val="0"/>
                <w:sz w:val="24"/>
              </w:rPr>
            </w:pPr>
            <w:r>
              <w:rPr>
                <w:rFonts w:hint="eastAsia" w:ascii="宋体" w:hAnsi="宋体"/>
                <w:kern w:val="0"/>
                <w:sz w:val="24"/>
              </w:rPr>
              <w:t>*</w:t>
            </w: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≥35.00km/h</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≥40.00km/h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7</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城市市政基础设施安全运行</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280" w:lineRule="exact"/>
              <w:rPr>
                <w:rFonts w:hint="eastAsia" w:ascii="仿宋_GB2312" w:hAnsi="宋体" w:eastAsia="仿宋_GB2312"/>
                <w:kern w:val="0"/>
                <w:sz w:val="24"/>
              </w:rPr>
            </w:pPr>
            <w:r>
              <w:rPr>
                <w:rFonts w:hint="eastAsia" w:ascii="仿宋_GB2312" w:hAnsi="宋体" w:eastAsia="仿宋_GB2312"/>
                <w:sz w:val="24"/>
              </w:rPr>
              <w:t>城市地下管网、道路桥梁等市政基础设施档案健全，运行管理制度完善，监管到位，城市安全运行得到保障。</w:t>
            </w:r>
          </w:p>
        </w:tc>
        <w:tc>
          <w:tcPr>
            <w:tcW w:w="2685" w:type="dxa"/>
            <w:shd w:val="clear" w:color="auto" w:fill="auto"/>
            <w:vAlign w:val="center"/>
          </w:tcPr>
          <w:p>
            <w:pPr>
              <w:spacing w:line="320" w:lineRule="exact"/>
              <w:jc w:val="center"/>
              <w:rPr>
                <w:rFonts w:hint="eastAsia" w:ascii="仿宋_GB2312" w:hAnsi="宋体" w:eastAsia="仿宋_GB2312"/>
                <w:b/>
                <w:color w:val="FF0000"/>
                <w:kern w:val="0"/>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8</w:t>
            </w:r>
          </w:p>
        </w:tc>
        <w:tc>
          <w:tcPr>
            <w:tcW w:w="3599" w:type="dxa"/>
            <w:gridSpan w:val="2"/>
            <w:tcBorders>
              <w:bottom w:val="single" w:color="auto" w:sz="4" w:space="0"/>
            </w:tcBorders>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宋体"/>
                <w:kern w:val="0"/>
                <w:sz w:val="24"/>
              </w:rPr>
              <w:t>城市排水</w:t>
            </w:r>
          </w:p>
        </w:tc>
        <w:tc>
          <w:tcPr>
            <w:tcW w:w="359" w:type="dxa"/>
            <w:tcBorders>
              <w:bottom w:val="single" w:color="auto" w:sz="4" w:space="0"/>
            </w:tcBorders>
            <w:shd w:val="clear" w:color="auto" w:fill="auto"/>
            <w:vAlign w:val="center"/>
          </w:tcPr>
          <w:p>
            <w:pPr>
              <w:spacing w:line="320" w:lineRule="exact"/>
              <w:jc w:val="center"/>
              <w:rPr>
                <w:rFonts w:hint="eastAsia" w:ascii="仿宋_GB2312" w:hAnsi="宋体" w:eastAsia="仿宋_GB2312" w:cs="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w:t>
            </w:r>
          </w:p>
        </w:tc>
        <w:tc>
          <w:tcPr>
            <w:tcW w:w="2685" w:type="dxa"/>
            <w:shd w:val="clear" w:color="auto" w:fill="auto"/>
            <w:vAlign w:val="center"/>
          </w:tcPr>
          <w:p>
            <w:pPr>
              <w:spacing w:line="280" w:lineRule="exact"/>
              <w:rPr>
                <w:rFonts w:hint="eastAsia" w:ascii="仿宋_GB2312" w:hAnsi="宋体" w:eastAsia="仿宋_GB2312"/>
                <w:sz w:val="24"/>
              </w:rPr>
            </w:pPr>
          </w:p>
          <w:p>
            <w:pPr>
              <w:spacing w:line="280" w:lineRule="exact"/>
              <w:rPr>
                <w:rFonts w:hint="eastAsia" w:ascii="仿宋_GB2312" w:hAnsi="宋体" w:eastAsia="仿宋_GB2312"/>
                <w:sz w:val="24"/>
              </w:rPr>
            </w:pPr>
            <w:r>
              <w:rPr>
                <w:rFonts w:hint="eastAsia" w:ascii="仿宋_GB2312" w:hAnsi="宋体" w:eastAsia="仿宋_GB2312"/>
                <w:sz w:val="24"/>
              </w:rPr>
              <w:t>城市建成区实施雨污分流，雨水收集、排放系统按《室外排水设计规范》（GB50014-2006）规定的高限建设；有专门的排水设施管理机构和专项维护资金保障。</w:t>
            </w:r>
          </w:p>
          <w:p>
            <w:pPr>
              <w:spacing w:line="2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9</w:t>
            </w:r>
          </w:p>
        </w:tc>
        <w:tc>
          <w:tcPr>
            <w:tcW w:w="3599" w:type="dxa"/>
            <w:gridSpan w:val="2"/>
            <w:shd w:val="clear" w:color="auto" w:fill="auto"/>
            <w:vAlign w:val="center"/>
          </w:tcPr>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城市景观照明控制</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2685"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cs="宋体"/>
                <w:kern w:val="0"/>
                <w:sz w:val="24"/>
              </w:rPr>
              <w:t>除体育场、建筑工地和道路照明等功能性照明外，所有室外公共活动空间或景物的夜间照明严格按照《城市夜景照明设计规范》（JGJ/T163-2008</w:t>
            </w:r>
            <w:r>
              <w:rPr>
                <w:rFonts w:ascii="仿宋_GB2312" w:hAnsi="宋体" w:eastAsia="仿宋_GB2312" w:cs="宋体"/>
                <w:kern w:val="0"/>
                <w:sz w:val="24"/>
              </w:rPr>
              <w:t>）</w:t>
            </w:r>
            <w:r>
              <w:rPr>
                <w:rFonts w:hint="eastAsia" w:ascii="仿宋_GB2312" w:hAnsi="宋体" w:eastAsia="仿宋_GB2312" w:cs="宋体"/>
                <w:kern w:val="0"/>
                <w:sz w:val="24"/>
              </w:rPr>
              <w:t>进行设计，被照对象照度、亮度、照明均匀度、照明功率密度（LPD）及限制光污染指标等均达到规范要求。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95" w:type="dxa"/>
            <w:vMerge w:val="restart"/>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7</w:t>
            </w:r>
          </w:p>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人居环境</w:t>
            </w:r>
          </w:p>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color w:val="FF0000"/>
                <w:kern w:val="0"/>
                <w:sz w:val="24"/>
              </w:rPr>
            </w:pPr>
            <w:r>
              <w:rPr>
                <w:rFonts w:hint="eastAsia" w:ascii="仿宋_GB2312" w:hAnsi="宋体" w:eastAsia="仿宋_GB2312"/>
                <w:b/>
                <w:kern w:val="0"/>
                <w:sz w:val="24"/>
              </w:rPr>
              <w:t>1</w:t>
            </w:r>
          </w:p>
        </w:tc>
        <w:tc>
          <w:tcPr>
            <w:tcW w:w="3599" w:type="dxa"/>
            <w:gridSpan w:val="2"/>
            <w:shd w:val="clear" w:color="auto" w:fill="auto"/>
            <w:vAlign w:val="center"/>
          </w:tcPr>
          <w:p>
            <w:pPr>
              <w:spacing w:line="320" w:lineRule="exact"/>
              <w:rPr>
                <w:rFonts w:hint="eastAsia" w:ascii="仿宋_GB2312" w:hAnsi="宋体" w:eastAsia="仿宋_GB2312"/>
                <w:b/>
                <w:color w:val="FF0000"/>
                <w:kern w:val="0"/>
                <w:sz w:val="24"/>
              </w:rPr>
            </w:pPr>
            <w:r>
              <w:rPr>
                <w:rFonts w:hint="eastAsia" w:ascii="仿宋_GB2312" w:hAnsi="宋体" w:eastAsia="仿宋_GB2312" w:cs="宋体"/>
                <w:kern w:val="0"/>
                <w:sz w:val="24"/>
              </w:rPr>
              <w:t>社区配套设施建设</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cs="宋体"/>
                <w:kern w:val="0"/>
                <w:sz w:val="24"/>
              </w:rPr>
              <w:t>社区教育、医疗、体育、文化、便民服务、公厕等各类设施配套齐全。</w:t>
            </w:r>
          </w:p>
        </w:tc>
        <w:tc>
          <w:tcPr>
            <w:tcW w:w="2685" w:type="dxa"/>
            <w:shd w:val="clear" w:color="auto" w:fill="auto"/>
            <w:vAlign w:val="center"/>
          </w:tcPr>
          <w:p>
            <w:pPr>
              <w:spacing w:line="320" w:lineRule="exact"/>
              <w:jc w:val="center"/>
              <w:rPr>
                <w:rFonts w:hint="eastAsia" w:ascii="仿宋_GB2312" w:hAnsi="宋体" w:eastAsia="仿宋_GB2312"/>
                <w:b/>
                <w:color w:val="FF0000"/>
                <w:sz w:val="24"/>
              </w:rPr>
            </w:pP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宋体"/>
                <w:kern w:val="0"/>
                <w:sz w:val="24"/>
              </w:rPr>
              <w:t>棚户区、城中村改造</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建成区内基本消除棚户区，居民得到妥善安置，实施物业管理。制定城中村改造规划并按规划实施。</w:t>
            </w:r>
          </w:p>
        </w:tc>
        <w:tc>
          <w:tcPr>
            <w:tcW w:w="2685" w:type="dxa"/>
            <w:shd w:val="clear" w:color="auto" w:fill="auto"/>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3</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kern w:val="0"/>
                <w:sz w:val="24"/>
              </w:rPr>
              <w:t>林荫路推广率</w:t>
            </w:r>
            <w:r>
              <w:rPr>
                <w:rFonts w:hint="eastAsia" w:ascii="仿宋_GB2312" w:hAnsi="宋体" w:eastAsia="仿宋_GB2312" w:cs="宋体"/>
                <w:kern w:val="0"/>
                <w:sz w:val="24"/>
              </w:rPr>
              <w:t>(%)</w:t>
            </w:r>
          </w:p>
        </w:tc>
        <w:tc>
          <w:tcPr>
            <w:tcW w:w="359" w:type="dxa"/>
            <w:shd w:val="clear" w:color="auto" w:fill="auto"/>
            <w:vAlign w:val="center"/>
          </w:tcPr>
          <w:p>
            <w:pPr>
              <w:spacing w:line="320" w:lineRule="exact"/>
              <w:jc w:val="center"/>
              <w:rPr>
                <w:rFonts w:hint="eastAsia" w:ascii="仿宋_GB2312" w:hAnsi="宋体" w:eastAsia="仿宋_GB2312" w:cs="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≥70%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4</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宋体"/>
                <w:kern w:val="0"/>
                <w:sz w:val="24"/>
              </w:rPr>
              <w:t>绿色交通出行分担率(%)</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5</w:t>
            </w:r>
          </w:p>
        </w:tc>
        <w:tc>
          <w:tcPr>
            <w:tcW w:w="3599" w:type="dxa"/>
            <w:gridSpan w:val="2"/>
            <w:shd w:val="clear" w:color="auto" w:fill="auto"/>
            <w:vAlign w:val="center"/>
          </w:tcPr>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步行、自行车交通系统规划建设</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2685" w:type="dxa"/>
            <w:shd w:val="clear" w:color="auto" w:fill="auto"/>
            <w:vAlign w:val="center"/>
          </w:tcPr>
          <w:p>
            <w:pPr>
              <w:spacing w:line="280" w:lineRule="exact"/>
              <w:rPr>
                <w:rFonts w:hint="eastAsia" w:ascii="仿宋_GB2312" w:hAnsi="宋体" w:eastAsia="仿宋_GB2312"/>
                <w:sz w:val="24"/>
              </w:rPr>
            </w:pPr>
            <w:r>
              <w:rPr>
                <w:rFonts w:hint="eastAsia" w:ascii="仿宋_GB2312" w:hAnsi="宋体" w:eastAsia="仿宋_GB2312" w:cs="宋体"/>
                <w:kern w:val="0"/>
                <w:sz w:val="24"/>
              </w:rPr>
              <w:t>制定专项规划，并经批准实施，建成较为完善的步行、自行车专用道和公用自行车租用系统。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395" w:type="dxa"/>
            <w:vMerge w:val="restart"/>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8</w:t>
            </w:r>
          </w:p>
          <w:p>
            <w:pPr>
              <w:spacing w:line="320" w:lineRule="exact"/>
              <w:jc w:val="center"/>
              <w:rPr>
                <w:rFonts w:hint="eastAsia" w:ascii="仿宋_GB2312" w:hAnsi="宋体" w:eastAsia="仿宋_GB2312"/>
                <w:kern w:val="0"/>
                <w:sz w:val="24"/>
              </w:rPr>
            </w:pPr>
            <w:r>
              <w:rPr>
                <w:rFonts w:hint="eastAsia" w:ascii="仿宋_GB2312" w:hAnsi="宋体" w:eastAsia="仿宋_GB2312"/>
                <w:b/>
                <w:kern w:val="0"/>
                <w:sz w:val="24"/>
              </w:rPr>
              <w:t>社会保障</w:t>
            </w: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1</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宋体"/>
                <w:kern w:val="0"/>
                <w:sz w:val="24"/>
              </w:rPr>
              <w:t>住房保障率(%)</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b/>
                <w:kern w:val="0"/>
                <w:sz w:val="24"/>
              </w:rPr>
            </w:pPr>
          </w:p>
        </w:tc>
        <w:tc>
          <w:tcPr>
            <w:tcW w:w="480" w:type="dxa"/>
            <w:shd w:val="clear" w:color="auto" w:fill="auto"/>
            <w:vAlign w:val="center"/>
          </w:tcPr>
          <w:p>
            <w:pPr>
              <w:spacing w:line="320" w:lineRule="exact"/>
              <w:jc w:val="center"/>
              <w:rPr>
                <w:rFonts w:hint="eastAsia" w:ascii="仿宋_GB2312" w:hAnsi="宋体" w:eastAsia="仿宋_GB2312"/>
                <w:b/>
                <w:kern w:val="0"/>
                <w:sz w:val="24"/>
              </w:rPr>
            </w:pPr>
            <w:r>
              <w:rPr>
                <w:rFonts w:hint="eastAsia" w:ascii="仿宋_GB2312" w:hAnsi="宋体" w:eastAsia="仿宋_GB2312"/>
                <w:b/>
                <w:kern w:val="0"/>
                <w:sz w:val="24"/>
              </w:rPr>
              <w:t>2</w:t>
            </w:r>
          </w:p>
        </w:tc>
        <w:tc>
          <w:tcPr>
            <w:tcW w:w="3599" w:type="dxa"/>
            <w:gridSpan w:val="2"/>
            <w:shd w:val="clear" w:color="auto" w:fill="auto"/>
            <w:vAlign w:val="center"/>
          </w:tcPr>
          <w:p>
            <w:pPr>
              <w:spacing w:line="320" w:lineRule="exact"/>
              <w:rPr>
                <w:rFonts w:hint="eastAsia" w:ascii="仿宋_GB2312" w:hAnsi="宋体" w:eastAsia="仿宋_GB2312"/>
                <w:kern w:val="0"/>
                <w:sz w:val="24"/>
              </w:rPr>
            </w:pPr>
            <w:r>
              <w:rPr>
                <w:rFonts w:hint="eastAsia" w:ascii="仿宋_GB2312" w:hAnsi="宋体" w:eastAsia="仿宋_GB2312" w:cs="宋体"/>
                <w:kern w:val="0"/>
                <w:sz w:val="24"/>
              </w:rPr>
              <w:t>保障性住房建设计划完成率(%)</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≥100%</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b/>
                <w:kern w:val="0"/>
                <w:sz w:val="24"/>
              </w:rPr>
            </w:pPr>
          </w:p>
        </w:tc>
        <w:tc>
          <w:tcPr>
            <w:tcW w:w="480" w:type="dxa"/>
            <w:shd w:val="clear" w:color="auto" w:fill="auto"/>
            <w:vAlign w:val="center"/>
          </w:tcPr>
          <w:p>
            <w:pPr>
              <w:spacing w:line="28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3</w:t>
            </w:r>
          </w:p>
        </w:tc>
        <w:tc>
          <w:tcPr>
            <w:tcW w:w="3599" w:type="dxa"/>
            <w:gridSpan w:val="2"/>
            <w:shd w:val="clear" w:color="auto" w:fill="auto"/>
            <w:vAlign w:val="center"/>
          </w:tcPr>
          <w:p>
            <w:pPr>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无障碍设施建设</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cs="宋体"/>
                <w:kern w:val="0"/>
                <w:sz w:val="24"/>
              </w:rPr>
              <w:t>主要道路、公园、公共建筑等公共场所设有无障碍设施，其管理、使用情况良好。</w:t>
            </w:r>
          </w:p>
        </w:tc>
        <w:tc>
          <w:tcPr>
            <w:tcW w:w="2685"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b/>
                <w:kern w:val="0"/>
                <w:sz w:val="24"/>
              </w:rPr>
            </w:pPr>
          </w:p>
        </w:tc>
        <w:tc>
          <w:tcPr>
            <w:tcW w:w="480" w:type="dxa"/>
            <w:shd w:val="clear" w:color="auto" w:fill="auto"/>
            <w:vAlign w:val="center"/>
          </w:tcPr>
          <w:p>
            <w:pPr>
              <w:spacing w:line="28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4</w:t>
            </w:r>
          </w:p>
        </w:tc>
        <w:tc>
          <w:tcPr>
            <w:tcW w:w="3599" w:type="dxa"/>
            <w:gridSpan w:val="2"/>
            <w:shd w:val="clear" w:color="auto" w:fill="auto"/>
            <w:vAlign w:val="center"/>
          </w:tcPr>
          <w:p>
            <w:pPr>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社会保险基金征缴率(%)</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2685" w:type="dxa"/>
            <w:shd w:val="clear" w:color="auto" w:fill="auto"/>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395" w:type="dxa"/>
            <w:vMerge w:val="continue"/>
            <w:shd w:val="clear" w:color="auto" w:fill="auto"/>
            <w:vAlign w:val="center"/>
          </w:tcPr>
          <w:p>
            <w:pPr>
              <w:spacing w:line="320" w:lineRule="exact"/>
              <w:jc w:val="center"/>
              <w:rPr>
                <w:rFonts w:hint="eastAsia" w:ascii="仿宋_GB2312" w:hAnsi="宋体" w:eastAsia="仿宋_GB2312"/>
                <w:b/>
                <w:kern w:val="0"/>
                <w:sz w:val="24"/>
              </w:rPr>
            </w:pPr>
          </w:p>
        </w:tc>
        <w:tc>
          <w:tcPr>
            <w:tcW w:w="480" w:type="dxa"/>
            <w:shd w:val="clear" w:color="auto" w:fill="auto"/>
            <w:vAlign w:val="center"/>
          </w:tcPr>
          <w:p>
            <w:pPr>
              <w:spacing w:line="28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5</w:t>
            </w:r>
          </w:p>
        </w:tc>
        <w:tc>
          <w:tcPr>
            <w:tcW w:w="3599" w:type="dxa"/>
            <w:gridSpan w:val="2"/>
            <w:shd w:val="clear" w:color="auto" w:fill="auto"/>
            <w:vAlign w:val="center"/>
          </w:tcPr>
          <w:p>
            <w:pPr>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城市最低生活保障</w:t>
            </w:r>
          </w:p>
        </w:tc>
        <w:tc>
          <w:tcPr>
            <w:tcW w:w="359" w:type="dxa"/>
            <w:shd w:val="clear" w:color="auto" w:fill="auto"/>
            <w:vAlign w:val="center"/>
          </w:tcPr>
          <w:p>
            <w:pPr>
              <w:spacing w:line="320" w:lineRule="exact"/>
              <w:jc w:val="center"/>
              <w:rPr>
                <w:rFonts w:hint="eastAsia" w:ascii="仿宋_GB2312" w:hAnsi="宋体" w:eastAsia="仿宋_GB2312"/>
                <w:kern w:val="0"/>
                <w:sz w:val="24"/>
              </w:rPr>
            </w:pPr>
          </w:p>
        </w:tc>
        <w:tc>
          <w:tcPr>
            <w:tcW w:w="3044" w:type="dxa"/>
            <w:shd w:val="clear" w:color="auto" w:fill="auto"/>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2685" w:type="dxa"/>
            <w:shd w:val="clear" w:color="auto" w:fill="auto"/>
            <w:vAlign w:val="center"/>
          </w:tcPr>
          <w:p>
            <w:pPr>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最低生活保障线高于本省（自治区）同类城市平均水平，实现应保尽保,正常发放。</w:t>
            </w:r>
          </w:p>
        </w:tc>
      </w:tr>
    </w:tbl>
    <w:p>
      <w:pPr>
        <w:spacing w:line="540" w:lineRule="exact"/>
        <w:rPr>
          <w:rFonts w:hint="eastAsia" w:ascii="仿宋_GB2312" w:eastAsia="仿宋_GB2312"/>
          <w:b/>
          <w:sz w:val="30"/>
          <w:szCs w:val="30"/>
        </w:rPr>
      </w:pPr>
      <w:r>
        <w:rPr>
          <w:rFonts w:hint="eastAsia" w:ascii="仿宋_GB2312" w:eastAsia="仿宋_GB2312"/>
          <w:b/>
          <w:sz w:val="30"/>
          <w:szCs w:val="30"/>
        </w:rPr>
        <w:t>注：</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1、国家园林城市须满足全部基本项的要求，国家生态园林城市须同时满足所有基本项和提升项的要求。</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2、表格“备注”栏中标注有“*”的，表示该指标来自《城市园林绿化评价标准》（GB/T50563-2010），其指标解释、计算方法和数据来源均与《城市园林绿化评价标准》一致。</w:t>
      </w:r>
    </w:p>
    <w:p>
      <w:pPr>
        <w:spacing w:line="540" w:lineRule="exact"/>
        <w:ind w:firstLine="600" w:firstLineChars="200"/>
        <w:rPr>
          <w:rFonts w:hint="eastAsia" w:ascii="仿宋_GB2312" w:eastAsia="仿宋_GB2312"/>
          <w:sz w:val="30"/>
          <w:szCs w:val="30"/>
        </w:rPr>
      </w:pPr>
    </w:p>
    <w:p>
      <w:pPr>
        <w:spacing w:line="540" w:lineRule="exact"/>
        <w:ind w:firstLine="600" w:firstLineChars="200"/>
        <w:rPr>
          <w:rFonts w:hint="eastAsia" w:ascii="仿宋_GB2312" w:eastAsia="仿宋_GB2312"/>
          <w:sz w:val="30"/>
          <w:szCs w:val="30"/>
        </w:rPr>
      </w:pPr>
    </w:p>
    <w:p>
      <w:pPr>
        <w:spacing w:line="540" w:lineRule="exact"/>
        <w:ind w:left="720"/>
        <w:rPr>
          <w:rFonts w:hint="eastAsia" w:ascii="方正黑体_GBK" w:hAnsi="黑体" w:eastAsia="方正黑体_GBK"/>
          <w:sz w:val="32"/>
          <w:szCs w:val="32"/>
        </w:rPr>
      </w:pPr>
      <w:r>
        <w:rPr>
          <w:rFonts w:hint="eastAsia" w:ascii="方正黑体_GBK" w:hAnsi="黑体" w:eastAsia="方正黑体_GBK"/>
          <w:sz w:val="32"/>
          <w:szCs w:val="32"/>
        </w:rPr>
        <w:t>二、国家园林城市否决项</w:t>
      </w:r>
    </w:p>
    <w:p>
      <w:pPr>
        <w:spacing w:line="540" w:lineRule="exact"/>
        <w:ind w:firstLine="660"/>
        <w:rPr>
          <w:rFonts w:hint="eastAsia" w:ascii="方正仿宋_GBK" w:eastAsia="方正仿宋_GBK"/>
          <w:sz w:val="32"/>
          <w:szCs w:val="32"/>
        </w:rPr>
      </w:pPr>
      <w:r>
        <w:rPr>
          <w:rFonts w:hint="eastAsia" w:ascii="方正仿宋_GBK" w:eastAsia="方正仿宋_GBK"/>
          <w:sz w:val="32"/>
          <w:szCs w:val="32"/>
        </w:rPr>
        <w:t>（一）尚未编制（或修编）完成城市绿地系统规划，或未按照《城市绿线管理办法》（建设部令第</w:t>
      </w:r>
      <w:r>
        <w:rPr>
          <w:rFonts w:eastAsia="方正仿宋_GBK"/>
          <w:sz w:val="32"/>
          <w:szCs w:val="32"/>
        </w:rPr>
        <w:t>112号）</w:t>
      </w:r>
      <w:r>
        <w:rPr>
          <w:rFonts w:hint="eastAsia" w:ascii="方正仿宋_GBK" w:eastAsia="方正仿宋_GBK"/>
          <w:sz w:val="32"/>
          <w:szCs w:val="32"/>
        </w:rPr>
        <w:t>要求划定绿线，并在至少两种以上的公开媒体上向社会公布；</w:t>
      </w:r>
    </w:p>
    <w:p>
      <w:pPr>
        <w:spacing w:line="540" w:lineRule="exact"/>
        <w:ind w:firstLine="660"/>
        <w:rPr>
          <w:rFonts w:hint="eastAsia" w:ascii="方正仿宋_GBK" w:eastAsia="方正仿宋_GBK"/>
          <w:sz w:val="32"/>
          <w:szCs w:val="32"/>
        </w:rPr>
      </w:pPr>
      <w:r>
        <w:rPr>
          <w:rFonts w:hint="eastAsia" w:ascii="方正仿宋_GBK" w:eastAsia="方正仿宋_GBK"/>
          <w:sz w:val="32"/>
          <w:szCs w:val="32"/>
        </w:rPr>
        <w:t>（二）建成区绿地率不达标；</w:t>
      </w:r>
    </w:p>
    <w:p>
      <w:pPr>
        <w:spacing w:line="540" w:lineRule="exact"/>
        <w:ind w:firstLine="660"/>
        <w:rPr>
          <w:rFonts w:hint="eastAsia" w:ascii="方正仿宋_GBK" w:eastAsia="方正仿宋_GBK"/>
          <w:sz w:val="32"/>
          <w:szCs w:val="32"/>
        </w:rPr>
      </w:pPr>
      <w:r>
        <w:rPr>
          <w:rFonts w:hint="eastAsia" w:ascii="方正仿宋_GBK" w:eastAsia="方正仿宋_GBK"/>
          <w:sz w:val="32"/>
          <w:szCs w:val="32"/>
        </w:rPr>
        <w:t>（三）城市污水处理率不达标；</w:t>
      </w:r>
    </w:p>
    <w:p>
      <w:pPr>
        <w:spacing w:line="540" w:lineRule="exact"/>
        <w:ind w:firstLine="660"/>
        <w:rPr>
          <w:rFonts w:hint="eastAsia" w:ascii="方正仿宋_GBK" w:eastAsia="方正仿宋_GBK"/>
          <w:sz w:val="32"/>
          <w:szCs w:val="32"/>
        </w:rPr>
      </w:pPr>
      <w:r>
        <w:rPr>
          <w:rFonts w:hint="eastAsia" w:ascii="方正仿宋_GBK" w:eastAsia="方正仿宋_GBK"/>
          <w:sz w:val="32"/>
          <w:szCs w:val="32"/>
        </w:rPr>
        <w:t>（四）城市生活垃圾无害化处理率不达标；</w:t>
      </w:r>
    </w:p>
    <w:p>
      <w:pPr>
        <w:spacing w:line="540" w:lineRule="exact"/>
        <w:ind w:firstLine="660"/>
        <w:rPr>
          <w:rFonts w:hint="eastAsia" w:ascii="方正仿宋_GBK" w:eastAsia="方正仿宋_GBK"/>
          <w:sz w:val="32"/>
          <w:szCs w:val="32"/>
        </w:rPr>
      </w:pPr>
      <w:r>
        <w:rPr>
          <w:rFonts w:hint="eastAsia" w:ascii="方正仿宋_GBK" w:eastAsia="方正仿宋_GBK"/>
          <w:sz w:val="32"/>
          <w:szCs w:val="32"/>
        </w:rPr>
        <w:t>（五）城市各城区人均公园绿地面积最低值不达标；</w:t>
      </w:r>
    </w:p>
    <w:p>
      <w:pPr>
        <w:spacing w:line="540" w:lineRule="exact"/>
        <w:ind w:firstLine="660"/>
        <w:rPr>
          <w:rFonts w:hint="eastAsia" w:ascii="方正仿宋_GBK" w:eastAsia="方正仿宋_GBK"/>
          <w:sz w:val="32"/>
          <w:szCs w:val="32"/>
        </w:rPr>
      </w:pPr>
      <w:r>
        <w:rPr>
          <w:rFonts w:hint="eastAsia" w:ascii="方正仿宋_GBK" w:eastAsia="方正仿宋_GBK"/>
          <w:sz w:val="32"/>
          <w:szCs w:val="32"/>
        </w:rPr>
        <w:t>（六）公园绿地服务半径覆盖率不达标；</w:t>
      </w:r>
    </w:p>
    <w:p>
      <w:pPr>
        <w:spacing w:line="540" w:lineRule="exact"/>
        <w:ind w:firstLine="660"/>
        <w:rPr>
          <w:rFonts w:hint="eastAsia" w:ascii="方正仿宋_GBK" w:eastAsia="方正仿宋_GBK"/>
          <w:sz w:val="32"/>
          <w:szCs w:val="32"/>
        </w:rPr>
      </w:pPr>
      <w:r>
        <w:rPr>
          <w:rFonts w:hint="eastAsia" w:ascii="方正仿宋_GBK" w:eastAsia="方正仿宋_GBK"/>
          <w:sz w:val="32"/>
          <w:szCs w:val="32"/>
        </w:rPr>
        <w:t>（七）林荫路推广率不达标。</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（一）至（四）项为国家园林城市否决项，（一）至（七）项为国家生态园林城市否决项。</w:t>
      </w:r>
    </w:p>
    <w:p>
      <w:pPr>
        <w:spacing w:line="540" w:lineRule="exact"/>
        <w:ind w:left="720"/>
        <w:rPr>
          <w:rFonts w:hint="eastAsia" w:ascii="方正黑体_GBK" w:hAnsi="黑体" w:eastAsia="方正黑体_GBK"/>
          <w:sz w:val="32"/>
          <w:szCs w:val="32"/>
        </w:rPr>
      </w:pPr>
      <w:r>
        <w:rPr>
          <w:rFonts w:hint="eastAsia" w:ascii="方正黑体_GBK" w:hAnsi="黑体" w:eastAsia="方正黑体_GBK"/>
          <w:sz w:val="32"/>
          <w:szCs w:val="32"/>
        </w:rPr>
        <w:t>三、部分指标解释</w:t>
      </w:r>
    </w:p>
    <w:p>
      <w:pPr>
        <w:spacing w:line="540" w:lineRule="exact"/>
        <w:ind w:firstLine="640" w:firstLineChars="200"/>
        <w:rPr>
          <w:rFonts w:eastAsia="方正仿宋_GBK"/>
          <w:kern w:val="0"/>
          <w:sz w:val="32"/>
          <w:szCs w:val="32"/>
        </w:rPr>
      </w:pPr>
      <w:r>
        <w:rPr>
          <w:rFonts w:eastAsia="方正仿宋_GBK"/>
          <w:kern w:val="0"/>
          <w:sz w:val="32"/>
          <w:szCs w:val="32"/>
        </w:rPr>
        <w:t>1、供热计量收费比例（%）</w:t>
      </w:r>
    </w:p>
    <w:p>
      <w:pPr>
        <w:spacing w:line="540" w:lineRule="exact"/>
        <w:ind w:firstLine="640" w:firstLineChars="200"/>
        <w:rPr>
          <w:rFonts w:eastAsia="方正仿宋_GBK"/>
          <w:kern w:val="0"/>
          <w:sz w:val="32"/>
          <w:szCs w:val="32"/>
        </w:rPr>
      </w:pPr>
      <w:r>
        <w:rPr>
          <w:rFonts w:eastAsia="方正仿宋_GBK"/>
          <w:sz w:val="32"/>
          <w:szCs w:val="32"/>
        </w:rPr>
        <w:t>指标解释：</w:t>
      </w:r>
      <w:r>
        <w:rPr>
          <w:rFonts w:eastAsia="方正仿宋_GBK"/>
          <w:kern w:val="0"/>
          <w:sz w:val="32"/>
          <w:szCs w:val="32"/>
        </w:rPr>
        <w:t>指建</w:t>
      </w:r>
      <w:r>
        <w:rPr>
          <w:rFonts w:eastAsia="方正仿宋_GBK"/>
          <w:sz w:val="32"/>
          <w:szCs w:val="32"/>
        </w:rPr>
        <w:t>成区内</w:t>
      </w:r>
      <w:r>
        <w:rPr>
          <w:rFonts w:eastAsia="方正仿宋_GBK"/>
          <w:kern w:val="0"/>
          <w:sz w:val="32"/>
          <w:szCs w:val="32"/>
        </w:rPr>
        <w:t>实施供热计量收费的住宅建筑面积占集中供热住宅总建筑面积的比例</w:t>
      </w:r>
      <w:r>
        <w:rPr>
          <w:rFonts w:eastAsia="方正仿宋_GBK"/>
          <w:sz w:val="32"/>
          <w:szCs w:val="32"/>
        </w:rPr>
        <w:t>。</w:t>
      </w:r>
    </w:p>
    <w:p>
      <w:pPr>
        <w:spacing w:line="540" w:lineRule="exact"/>
        <w:ind w:firstLine="640" w:firstLineChars="200"/>
        <w:rPr>
          <w:rFonts w:eastAsia="方正仿宋_GBK"/>
          <w:kern w:val="0"/>
          <w:sz w:val="32"/>
          <w:szCs w:val="32"/>
        </w:rPr>
      </w:pPr>
      <w:r>
        <w:rPr>
          <w:rFonts w:eastAsia="方正仿宋_GBK"/>
          <w:sz w:val="32"/>
          <w:szCs w:val="32"/>
        </w:rPr>
        <w:t>计算方法：供热计量收费比例=实施供热计量收费的住宅建筑面积（平方米）÷集中供热住宅总建筑面积（平方米）×100%</w:t>
      </w:r>
    </w:p>
    <w:p>
      <w:pPr>
        <w:spacing w:line="540" w:lineRule="exact"/>
        <w:ind w:firstLine="640" w:firstLineChars="200"/>
        <w:rPr>
          <w:rFonts w:eastAsia="方正仿宋_GBK"/>
          <w:kern w:val="0"/>
          <w:sz w:val="32"/>
          <w:szCs w:val="32"/>
        </w:rPr>
      </w:pPr>
      <w:r>
        <w:rPr>
          <w:rFonts w:eastAsia="方正仿宋_GBK"/>
          <w:sz w:val="32"/>
          <w:szCs w:val="32"/>
        </w:rPr>
        <w:t>数据来源：城市建设部门</w:t>
      </w:r>
      <w:r>
        <w:rPr>
          <w:rFonts w:eastAsia="方正仿宋_GBK"/>
          <w:kern w:val="0"/>
          <w:sz w:val="32"/>
          <w:szCs w:val="32"/>
        </w:rPr>
        <w:t xml:space="preserve"> </w:t>
      </w:r>
    </w:p>
    <w:p>
      <w:pPr>
        <w:spacing w:line="540" w:lineRule="exact"/>
        <w:ind w:firstLine="640" w:firstLineChars="200"/>
        <w:rPr>
          <w:rFonts w:eastAsia="方正仿宋_GBK"/>
          <w:kern w:val="0"/>
          <w:sz w:val="32"/>
          <w:szCs w:val="32"/>
        </w:rPr>
      </w:pPr>
      <w:r>
        <w:rPr>
          <w:rFonts w:eastAsia="方正仿宋_GBK"/>
          <w:kern w:val="0"/>
          <w:sz w:val="32"/>
          <w:szCs w:val="32"/>
        </w:rPr>
        <w:t>2、节能建筑比例（%）</w:t>
      </w:r>
    </w:p>
    <w:p>
      <w:pPr>
        <w:spacing w:line="540" w:lineRule="exact"/>
        <w:ind w:firstLine="640" w:firstLineChars="200"/>
        <w:rPr>
          <w:rFonts w:eastAsia="方正仿宋_GBK"/>
          <w:kern w:val="0"/>
          <w:sz w:val="32"/>
          <w:szCs w:val="32"/>
        </w:rPr>
      </w:pPr>
      <w:r>
        <w:rPr>
          <w:rFonts w:eastAsia="方正仿宋_GBK"/>
          <w:sz w:val="32"/>
          <w:szCs w:val="32"/>
        </w:rPr>
        <w:t>指标解释：指建成区内符合节能设计标准的建筑面积占建成区内总建筑面积的比例。</w:t>
      </w:r>
    </w:p>
    <w:p>
      <w:pPr>
        <w:spacing w:line="540" w:lineRule="exact"/>
        <w:ind w:firstLine="640" w:firstLineChars="200"/>
        <w:rPr>
          <w:rFonts w:eastAsia="方正仿宋_GBK"/>
          <w:kern w:val="0"/>
          <w:sz w:val="32"/>
          <w:szCs w:val="32"/>
        </w:rPr>
      </w:pPr>
      <w:r>
        <w:rPr>
          <w:rFonts w:eastAsia="方正仿宋_GBK"/>
          <w:sz w:val="32"/>
          <w:szCs w:val="32"/>
        </w:rPr>
        <w:t>计算方法：节能建筑比例=建成区内符合节能设计标准的建筑面积（平方米）÷建成区内建筑总面积（平方米）×100%</w:t>
      </w:r>
    </w:p>
    <w:p>
      <w:pPr>
        <w:spacing w:line="540" w:lineRule="exact"/>
        <w:ind w:firstLine="640" w:firstLineChars="200"/>
        <w:rPr>
          <w:rFonts w:eastAsia="方正仿宋_GBK"/>
          <w:sz w:val="32"/>
          <w:szCs w:val="32"/>
        </w:rPr>
      </w:pPr>
      <w:r>
        <w:rPr>
          <w:rFonts w:eastAsia="方正仿宋_GBK"/>
          <w:sz w:val="32"/>
          <w:szCs w:val="32"/>
        </w:rPr>
        <w:t>数据来源：城市建设部门</w:t>
      </w:r>
    </w:p>
    <w:p>
      <w:pPr>
        <w:spacing w:line="520" w:lineRule="exact"/>
        <w:ind w:firstLine="640" w:firstLineChars="200"/>
        <w:rPr>
          <w:rFonts w:eastAsia="方正仿宋_GBK"/>
          <w:kern w:val="0"/>
          <w:sz w:val="32"/>
          <w:szCs w:val="32"/>
        </w:rPr>
      </w:pPr>
      <w:r>
        <w:rPr>
          <w:rFonts w:eastAsia="方正仿宋_GBK"/>
          <w:kern w:val="0"/>
          <w:sz w:val="32"/>
          <w:szCs w:val="32"/>
        </w:rPr>
        <w:t>3、可再生能源使用比例（%）</w:t>
      </w:r>
    </w:p>
    <w:p>
      <w:pPr>
        <w:spacing w:line="520" w:lineRule="exact"/>
        <w:ind w:firstLine="640" w:firstLineChars="200"/>
        <w:rPr>
          <w:rFonts w:eastAsia="方正仿宋_GBK"/>
          <w:kern w:val="0"/>
          <w:sz w:val="32"/>
          <w:szCs w:val="32"/>
        </w:rPr>
      </w:pPr>
      <w:r>
        <w:rPr>
          <w:rFonts w:eastAsia="方正仿宋_GBK"/>
          <w:sz w:val="32"/>
          <w:szCs w:val="32"/>
        </w:rPr>
        <w:t>指标解释：指可再生能源在城市能源结构中所占比例。可再生能源是指风能、太阳能、水能、生物质能、地热能、海洋能等非化石能源。</w:t>
      </w:r>
    </w:p>
    <w:p>
      <w:pPr>
        <w:spacing w:line="520" w:lineRule="exact"/>
        <w:ind w:firstLine="640" w:firstLineChars="200"/>
        <w:rPr>
          <w:rFonts w:eastAsia="方正仿宋_GBK"/>
          <w:kern w:val="0"/>
          <w:sz w:val="32"/>
          <w:szCs w:val="32"/>
        </w:rPr>
      </w:pPr>
      <w:r>
        <w:rPr>
          <w:rFonts w:eastAsia="方正仿宋_GBK"/>
          <w:sz w:val="32"/>
          <w:szCs w:val="32"/>
        </w:rPr>
        <w:t>计算方法：可再生能源使用比例=可再生能源使用量（吨标准煤）÷城市能源消费总量（吨标准煤）×100%</w:t>
      </w:r>
    </w:p>
    <w:p>
      <w:pPr>
        <w:spacing w:line="520" w:lineRule="exact"/>
        <w:ind w:firstLine="640" w:firstLineChars="200"/>
        <w:rPr>
          <w:rFonts w:eastAsia="方正仿宋_GBK"/>
          <w:sz w:val="32"/>
          <w:szCs w:val="32"/>
        </w:rPr>
      </w:pPr>
      <w:r>
        <w:rPr>
          <w:rFonts w:eastAsia="方正仿宋_GBK"/>
          <w:sz w:val="32"/>
          <w:szCs w:val="32"/>
        </w:rPr>
        <w:t>数据来源：发展改革部门</w:t>
      </w:r>
    </w:p>
    <w:p>
      <w:pPr>
        <w:spacing w:line="520" w:lineRule="exact"/>
        <w:ind w:firstLine="640" w:firstLineChars="200"/>
        <w:rPr>
          <w:rFonts w:eastAsia="方正仿宋_GBK"/>
          <w:color w:val="FF0000"/>
          <w:kern w:val="0"/>
          <w:sz w:val="32"/>
          <w:szCs w:val="32"/>
        </w:rPr>
      </w:pPr>
      <w:r>
        <w:rPr>
          <w:rFonts w:eastAsia="方正仿宋_GBK"/>
          <w:sz w:val="32"/>
          <w:szCs w:val="32"/>
        </w:rPr>
        <w:t>4、</w:t>
      </w:r>
      <w:r>
        <w:rPr>
          <w:rFonts w:eastAsia="方正仿宋_GBK"/>
          <w:kern w:val="0"/>
          <w:sz w:val="32"/>
          <w:szCs w:val="32"/>
        </w:rPr>
        <w:t>单位GDP工业固体废物排放量(千克/万元)</w:t>
      </w:r>
      <w:r>
        <w:rPr>
          <w:rFonts w:eastAsia="方正仿宋_GBK"/>
          <w:color w:val="FF0000"/>
          <w:kern w:val="0"/>
          <w:sz w:val="32"/>
          <w:szCs w:val="32"/>
        </w:rPr>
        <w:t xml:space="preserve"> </w:t>
      </w:r>
    </w:p>
    <w:p>
      <w:pPr>
        <w:spacing w:line="520" w:lineRule="exact"/>
        <w:ind w:firstLine="640" w:firstLineChars="200"/>
        <w:rPr>
          <w:rFonts w:eastAsia="方正仿宋_GBK"/>
          <w:sz w:val="32"/>
          <w:szCs w:val="32"/>
        </w:rPr>
      </w:pPr>
      <w:r>
        <w:rPr>
          <w:rFonts w:eastAsia="方正仿宋_GBK"/>
          <w:sz w:val="32"/>
          <w:szCs w:val="32"/>
        </w:rPr>
        <w:t>指标解释：指创造单位</w:t>
      </w:r>
      <w:r>
        <w:rPr>
          <w:rFonts w:eastAsia="方正仿宋_GBK"/>
          <w:color w:val="000000"/>
          <w:sz w:val="32"/>
          <w:szCs w:val="32"/>
        </w:rPr>
        <w:t>国内</w:t>
      </w:r>
      <w:r>
        <w:rPr>
          <w:rFonts w:eastAsia="方正仿宋_GBK"/>
          <w:sz w:val="32"/>
          <w:szCs w:val="32"/>
        </w:rPr>
        <w:t>生产总值所排放的工业固体废物量。工业固体废物排放量指企业将所产生的固体废物排到固体废物污染防治设施、场所以外的量。不包括矿山开采的剥离废石和掘进废石(煤矸石和呈酸性或碱性的废石除外)。</w:t>
      </w:r>
    </w:p>
    <w:p>
      <w:pPr>
        <w:spacing w:line="520" w:lineRule="exact"/>
        <w:ind w:firstLine="640" w:firstLineChars="200"/>
        <w:rPr>
          <w:rFonts w:eastAsia="方正仿宋_GBK"/>
          <w:sz w:val="32"/>
          <w:szCs w:val="32"/>
        </w:rPr>
      </w:pPr>
      <w:r>
        <w:rPr>
          <w:rFonts w:eastAsia="方正仿宋_GBK"/>
          <w:sz w:val="32"/>
          <w:szCs w:val="32"/>
        </w:rPr>
        <w:t>计算方法：单位GDP工业固体废物排放量（千克/万元）=工业固体废物排放量（千克）÷国内生产总值（万元）</w:t>
      </w:r>
    </w:p>
    <w:p>
      <w:pPr>
        <w:spacing w:line="520" w:lineRule="exact"/>
        <w:ind w:firstLine="640" w:firstLineChars="200"/>
        <w:rPr>
          <w:rFonts w:eastAsia="方正仿宋_GBK"/>
          <w:kern w:val="0"/>
          <w:sz w:val="32"/>
          <w:szCs w:val="32"/>
        </w:rPr>
      </w:pPr>
      <w:r>
        <w:rPr>
          <w:rFonts w:eastAsia="方正仿宋_GBK"/>
          <w:sz w:val="32"/>
          <w:szCs w:val="32"/>
        </w:rPr>
        <w:t>数据来源：环保部门</w:t>
      </w:r>
    </w:p>
    <w:p>
      <w:pPr>
        <w:spacing w:line="520" w:lineRule="exact"/>
        <w:ind w:firstLine="640" w:firstLineChars="200"/>
        <w:rPr>
          <w:rFonts w:eastAsia="方正仿宋_GBK"/>
          <w:kern w:val="0"/>
          <w:sz w:val="32"/>
          <w:szCs w:val="32"/>
        </w:rPr>
      </w:pPr>
      <w:r>
        <w:rPr>
          <w:rFonts w:eastAsia="方正仿宋_GBK"/>
          <w:kern w:val="0"/>
          <w:sz w:val="32"/>
          <w:szCs w:val="32"/>
        </w:rPr>
        <w:t>5、城市工业废水排放达标率（%）</w:t>
      </w:r>
    </w:p>
    <w:p>
      <w:pPr>
        <w:spacing w:line="520" w:lineRule="exact"/>
        <w:ind w:firstLine="640" w:firstLineChars="200"/>
        <w:rPr>
          <w:rFonts w:eastAsia="方正仿宋_GBK"/>
          <w:sz w:val="32"/>
          <w:szCs w:val="32"/>
        </w:rPr>
      </w:pPr>
      <w:r>
        <w:rPr>
          <w:rFonts w:eastAsia="方正仿宋_GBK"/>
          <w:sz w:val="32"/>
          <w:szCs w:val="32"/>
        </w:rPr>
        <w:t>指标解释：指城市工业废水排放达标量占城市工业废水排放量的百分比。</w:t>
      </w:r>
    </w:p>
    <w:p>
      <w:pPr>
        <w:spacing w:line="520" w:lineRule="exact"/>
        <w:ind w:firstLine="640" w:firstLineChars="200"/>
        <w:rPr>
          <w:rFonts w:eastAsia="方正仿宋_GBK"/>
          <w:sz w:val="32"/>
          <w:szCs w:val="32"/>
        </w:rPr>
      </w:pPr>
      <w:r>
        <w:rPr>
          <w:rFonts w:eastAsia="方正仿宋_GBK"/>
          <w:sz w:val="32"/>
          <w:szCs w:val="32"/>
        </w:rPr>
        <w:t>计算方法：城市工业废水排放达标率=城市工业废水排放达标量（万吨）÷城市工业废水排放量（万吨）×100%</w:t>
      </w:r>
    </w:p>
    <w:p>
      <w:pPr>
        <w:spacing w:line="520" w:lineRule="exact"/>
        <w:ind w:firstLine="640" w:firstLineChars="200"/>
        <w:rPr>
          <w:rFonts w:eastAsia="方正仿宋_GBK"/>
          <w:kern w:val="0"/>
          <w:sz w:val="32"/>
          <w:szCs w:val="32"/>
        </w:rPr>
      </w:pPr>
      <w:r>
        <w:rPr>
          <w:rFonts w:eastAsia="方正仿宋_GBK"/>
          <w:sz w:val="32"/>
          <w:szCs w:val="32"/>
        </w:rPr>
        <w:t>数据来源：环保部门</w:t>
      </w:r>
    </w:p>
    <w:p>
      <w:pPr>
        <w:spacing w:line="520" w:lineRule="exact"/>
        <w:ind w:firstLine="640" w:firstLineChars="200"/>
        <w:rPr>
          <w:rFonts w:eastAsia="方正仿宋_GBK"/>
          <w:sz w:val="32"/>
          <w:szCs w:val="32"/>
        </w:rPr>
      </w:pPr>
      <w:r>
        <w:rPr>
          <w:rFonts w:eastAsia="方正仿宋_GBK"/>
          <w:kern w:val="0"/>
          <w:sz w:val="32"/>
          <w:szCs w:val="32"/>
        </w:rPr>
        <w:t>6、城市再生水利用率（%）</w:t>
      </w:r>
    </w:p>
    <w:p>
      <w:pPr>
        <w:spacing w:line="520" w:lineRule="exact"/>
        <w:ind w:firstLine="640" w:firstLineChars="200"/>
        <w:rPr>
          <w:rFonts w:eastAsia="方正仿宋_GBK"/>
          <w:sz w:val="32"/>
          <w:szCs w:val="32"/>
        </w:rPr>
      </w:pPr>
      <w:r>
        <w:rPr>
          <w:rFonts w:eastAsia="方正仿宋_GBK"/>
          <w:sz w:val="32"/>
          <w:szCs w:val="32"/>
        </w:rPr>
        <w:t>指标解释：指城市污水再生利用量与城市污水排放量的比率。</w:t>
      </w:r>
    </w:p>
    <w:p>
      <w:pPr>
        <w:spacing w:line="520" w:lineRule="exact"/>
        <w:ind w:firstLine="640" w:firstLineChars="200"/>
        <w:rPr>
          <w:rFonts w:eastAsia="方正仿宋_GBK"/>
          <w:sz w:val="32"/>
          <w:szCs w:val="32"/>
        </w:rPr>
      </w:pPr>
      <w:r>
        <w:rPr>
          <w:rFonts w:eastAsia="方正仿宋_GBK"/>
          <w:sz w:val="32"/>
          <w:szCs w:val="32"/>
        </w:rPr>
        <w:t>计算方法：城市再生水利用率=城市污水再生利用量（万吨）÷城市污水排放量（万吨）×100%</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数据来源：城市建设、发展改革部门</w:t>
      </w:r>
    </w:p>
    <w:p>
      <w:pPr>
        <w:spacing w:line="540" w:lineRule="exact"/>
        <w:ind w:firstLine="640" w:firstLineChars="200"/>
        <w:rPr>
          <w:rFonts w:eastAsia="方正仿宋_GBK"/>
          <w:kern w:val="0"/>
          <w:sz w:val="32"/>
          <w:szCs w:val="32"/>
        </w:rPr>
      </w:pPr>
      <w:r>
        <w:rPr>
          <w:rFonts w:eastAsia="方正仿宋_GBK"/>
          <w:kern w:val="0"/>
          <w:sz w:val="32"/>
          <w:szCs w:val="32"/>
        </w:rPr>
        <w:t>7、</w:t>
      </w:r>
      <w:r>
        <w:rPr>
          <w:rFonts w:eastAsia="方正仿宋_GBK"/>
          <w:sz w:val="32"/>
          <w:szCs w:val="32"/>
        </w:rPr>
        <w:t>林荫路推广率</w:t>
      </w:r>
      <w:r>
        <w:rPr>
          <w:rFonts w:eastAsia="方正仿宋_GBK"/>
          <w:kern w:val="0"/>
          <w:sz w:val="32"/>
          <w:szCs w:val="32"/>
        </w:rPr>
        <w:t>（%）</w:t>
      </w:r>
    </w:p>
    <w:p>
      <w:pPr>
        <w:spacing w:line="540" w:lineRule="exact"/>
        <w:ind w:firstLine="640" w:firstLineChars="200"/>
        <w:rPr>
          <w:rFonts w:eastAsia="方正仿宋_GBK"/>
          <w:kern w:val="0"/>
          <w:sz w:val="32"/>
          <w:szCs w:val="32"/>
        </w:rPr>
      </w:pPr>
      <w:r>
        <w:rPr>
          <w:rFonts w:eastAsia="方正仿宋_GBK"/>
          <w:sz w:val="32"/>
          <w:szCs w:val="32"/>
        </w:rPr>
        <w:t>指标解释: 指城市达到林荫路标准的人行道、自行车道长度占人行道、自行车道总长度的百分比。林荫路指绿化覆盖率达到90%以上的人行道、自行车道。</w:t>
      </w:r>
    </w:p>
    <w:p>
      <w:pPr>
        <w:spacing w:line="540" w:lineRule="exact"/>
        <w:ind w:firstLine="640" w:firstLineChars="200"/>
        <w:rPr>
          <w:rFonts w:eastAsia="方正仿宋_GBK"/>
          <w:kern w:val="0"/>
          <w:sz w:val="32"/>
          <w:szCs w:val="32"/>
        </w:rPr>
      </w:pPr>
      <w:r>
        <w:rPr>
          <w:rFonts w:eastAsia="方正仿宋_GBK"/>
          <w:sz w:val="32"/>
          <w:szCs w:val="32"/>
        </w:rPr>
        <w:t>计算方法:林荫路推广率=达到林荫路标准的人行道、自行车道长度（千米）÷</w:t>
      </w:r>
      <w:r>
        <w:rPr>
          <w:rFonts w:eastAsia="方正仿宋_GBK"/>
          <w:color w:val="000000"/>
          <w:sz w:val="32"/>
          <w:szCs w:val="32"/>
        </w:rPr>
        <w:t>人行道、自行车道总长度（千米）×100%</w:t>
      </w:r>
    </w:p>
    <w:p>
      <w:pPr>
        <w:spacing w:line="540" w:lineRule="exact"/>
        <w:ind w:firstLine="640" w:firstLineChars="200"/>
        <w:rPr>
          <w:rFonts w:eastAsia="方正仿宋_GBK"/>
          <w:kern w:val="0"/>
          <w:sz w:val="32"/>
          <w:szCs w:val="32"/>
        </w:rPr>
      </w:pPr>
      <w:r>
        <w:rPr>
          <w:rFonts w:eastAsia="方正仿宋_GBK"/>
          <w:sz w:val="32"/>
          <w:szCs w:val="32"/>
        </w:rPr>
        <w:t>数据来源:</w:t>
      </w:r>
      <w:r>
        <w:rPr>
          <w:rFonts w:eastAsia="方正仿宋_GBK"/>
          <w:kern w:val="0"/>
          <w:sz w:val="32"/>
          <w:szCs w:val="32"/>
        </w:rPr>
        <w:t xml:space="preserve"> 城市园林绿化部门（须提供</w:t>
      </w:r>
      <w:r>
        <w:rPr>
          <w:rFonts w:eastAsia="方正仿宋_GBK"/>
          <w:sz w:val="32"/>
          <w:szCs w:val="32"/>
        </w:rPr>
        <w:t>遥感测试基础资料及遥感测试图片）</w:t>
      </w:r>
    </w:p>
    <w:p>
      <w:pPr>
        <w:spacing w:line="540" w:lineRule="exact"/>
        <w:ind w:firstLine="640" w:firstLineChars="200"/>
        <w:rPr>
          <w:rFonts w:eastAsia="方正仿宋_GBK"/>
          <w:kern w:val="0"/>
          <w:sz w:val="32"/>
          <w:szCs w:val="32"/>
        </w:rPr>
      </w:pPr>
      <w:r>
        <w:rPr>
          <w:rFonts w:eastAsia="方正仿宋_GBK"/>
          <w:kern w:val="0"/>
          <w:sz w:val="32"/>
          <w:szCs w:val="32"/>
        </w:rPr>
        <w:t>8、绿色交通出行分担率（%）</w:t>
      </w:r>
    </w:p>
    <w:p>
      <w:pPr>
        <w:spacing w:line="540" w:lineRule="exact"/>
        <w:ind w:firstLine="640" w:firstLineChars="200"/>
        <w:rPr>
          <w:rFonts w:eastAsia="方正仿宋_GBK"/>
          <w:kern w:val="0"/>
          <w:sz w:val="32"/>
          <w:szCs w:val="32"/>
        </w:rPr>
      </w:pPr>
      <w:r>
        <w:rPr>
          <w:rFonts w:eastAsia="方正仿宋_GBK"/>
          <w:sz w:val="32"/>
          <w:szCs w:val="32"/>
        </w:rPr>
        <w:t>指标解释：指步行、自行车和公共交通出行的总人次占城市出行总人次的百分比。</w:t>
      </w:r>
    </w:p>
    <w:p>
      <w:pPr>
        <w:spacing w:line="540" w:lineRule="exact"/>
        <w:ind w:firstLine="640" w:firstLineChars="200"/>
        <w:rPr>
          <w:rFonts w:eastAsia="方正仿宋_GBK"/>
          <w:kern w:val="0"/>
          <w:sz w:val="32"/>
          <w:szCs w:val="32"/>
        </w:rPr>
      </w:pPr>
      <w:r>
        <w:rPr>
          <w:rFonts w:eastAsia="方正仿宋_GBK"/>
          <w:sz w:val="32"/>
          <w:szCs w:val="32"/>
        </w:rPr>
        <w:t>计算方法：绿色交通出行分担率=（步行交通出行人次+自行车交通出行人次+公共交通出行人次）（万人）÷城市出行总人次（万人）×100%</w:t>
      </w:r>
    </w:p>
    <w:p>
      <w:pPr>
        <w:spacing w:line="540" w:lineRule="exact"/>
        <w:ind w:firstLine="640" w:firstLineChars="200"/>
        <w:rPr>
          <w:rFonts w:eastAsia="方正仿宋_GBK"/>
          <w:kern w:val="0"/>
          <w:sz w:val="32"/>
          <w:szCs w:val="32"/>
        </w:rPr>
      </w:pPr>
      <w:r>
        <w:rPr>
          <w:rFonts w:eastAsia="方正仿宋_GBK"/>
          <w:sz w:val="32"/>
          <w:szCs w:val="32"/>
        </w:rPr>
        <w:t>数据来源：城市交通管理部门、城市建设部门</w:t>
      </w:r>
    </w:p>
    <w:p>
      <w:pPr>
        <w:spacing w:line="540" w:lineRule="exact"/>
        <w:ind w:firstLine="640" w:firstLineChars="200"/>
        <w:rPr>
          <w:rFonts w:eastAsia="方正仿宋_GBK"/>
          <w:kern w:val="0"/>
          <w:sz w:val="32"/>
          <w:szCs w:val="32"/>
        </w:rPr>
      </w:pPr>
      <w:r>
        <w:rPr>
          <w:rFonts w:eastAsia="方正仿宋_GBK"/>
          <w:kern w:val="0"/>
          <w:sz w:val="32"/>
          <w:szCs w:val="32"/>
        </w:rPr>
        <w:t>9、住房保障率（%）</w:t>
      </w:r>
    </w:p>
    <w:p>
      <w:pPr>
        <w:spacing w:line="540" w:lineRule="exact"/>
        <w:ind w:firstLine="640" w:firstLineChars="200"/>
        <w:rPr>
          <w:rFonts w:eastAsia="方正仿宋_GBK"/>
          <w:kern w:val="0"/>
          <w:sz w:val="32"/>
          <w:szCs w:val="32"/>
        </w:rPr>
      </w:pPr>
      <w:r>
        <w:rPr>
          <w:rFonts w:eastAsia="方正仿宋_GBK"/>
          <w:sz w:val="32"/>
          <w:szCs w:val="32"/>
        </w:rPr>
        <w:t>指标解释：指累计实施住房保障户数占累计已申请登记应保障户数的比重。住房保障包括货币保障和住房实物保障。住房实物保障包括廉租住房、经济适用住房、公共租赁住房、限价商品住房。</w:t>
      </w:r>
    </w:p>
    <w:p>
      <w:pPr>
        <w:spacing w:line="540" w:lineRule="exact"/>
        <w:ind w:firstLine="640" w:firstLineChars="200"/>
        <w:rPr>
          <w:rFonts w:eastAsia="方正仿宋_GBK"/>
          <w:kern w:val="0"/>
          <w:sz w:val="32"/>
          <w:szCs w:val="32"/>
        </w:rPr>
      </w:pPr>
      <w:r>
        <w:rPr>
          <w:rFonts w:eastAsia="方正仿宋_GBK"/>
          <w:sz w:val="32"/>
          <w:szCs w:val="32"/>
        </w:rPr>
        <w:t>计算方法：住房保障率=已保障户数（户）÷已申请登记应保障户数（户）×100%</w:t>
      </w:r>
    </w:p>
    <w:p>
      <w:pPr>
        <w:spacing w:line="540" w:lineRule="exact"/>
        <w:ind w:firstLine="640" w:firstLineChars="200"/>
        <w:rPr>
          <w:rFonts w:eastAsia="方正仿宋_GBK"/>
          <w:kern w:val="0"/>
          <w:sz w:val="32"/>
          <w:szCs w:val="32"/>
        </w:rPr>
      </w:pPr>
      <w:r>
        <w:rPr>
          <w:rFonts w:eastAsia="方正仿宋_GBK"/>
          <w:sz w:val="32"/>
          <w:szCs w:val="32"/>
        </w:rPr>
        <w:t>数据来源：住房和城乡建设（住房保障）部门</w:t>
      </w:r>
    </w:p>
    <w:p>
      <w:pPr>
        <w:spacing w:line="540" w:lineRule="exact"/>
        <w:ind w:firstLine="640" w:firstLineChars="200"/>
        <w:rPr>
          <w:rFonts w:eastAsia="方正仿宋_GBK"/>
          <w:kern w:val="0"/>
          <w:sz w:val="32"/>
          <w:szCs w:val="32"/>
        </w:rPr>
      </w:pPr>
      <w:r>
        <w:rPr>
          <w:rFonts w:eastAsia="方正仿宋_GBK"/>
          <w:sz w:val="32"/>
          <w:szCs w:val="32"/>
        </w:rPr>
        <w:t>10、</w:t>
      </w:r>
      <w:r>
        <w:rPr>
          <w:rFonts w:eastAsia="方正仿宋_GBK"/>
          <w:kern w:val="0"/>
          <w:sz w:val="32"/>
          <w:szCs w:val="32"/>
        </w:rPr>
        <w:t>保障性住房建设计划完成率（%）</w:t>
      </w:r>
    </w:p>
    <w:p>
      <w:pPr>
        <w:spacing w:line="540" w:lineRule="exact"/>
        <w:ind w:firstLine="640" w:firstLineChars="200"/>
        <w:rPr>
          <w:rFonts w:eastAsia="方正仿宋_GBK"/>
          <w:kern w:val="0"/>
          <w:sz w:val="32"/>
          <w:szCs w:val="32"/>
        </w:rPr>
      </w:pPr>
      <w:r>
        <w:rPr>
          <w:rFonts w:eastAsia="方正仿宋_GBK"/>
          <w:sz w:val="32"/>
          <w:szCs w:val="32"/>
        </w:rPr>
        <w:t>指标解释：指实际新开工保障性住房的套数占计划新开工保障性住房套数的比重。保障性住房包括廉租住房、经济适用住房、公共租赁住房、限价商品房。</w:t>
      </w:r>
    </w:p>
    <w:p>
      <w:pPr>
        <w:spacing w:line="540" w:lineRule="exact"/>
        <w:ind w:firstLine="640" w:firstLineChars="200"/>
        <w:rPr>
          <w:rFonts w:eastAsia="方正仿宋_GBK"/>
          <w:kern w:val="0"/>
          <w:sz w:val="32"/>
          <w:szCs w:val="32"/>
        </w:rPr>
      </w:pPr>
      <w:r>
        <w:rPr>
          <w:rFonts w:eastAsia="方正仿宋_GBK"/>
          <w:sz w:val="32"/>
          <w:szCs w:val="32"/>
        </w:rPr>
        <w:t>计算方法：保障性住房建设计划完成率=当年实际新开工保障性住房套数（套）÷当年计划新开工各类保障性住房套数（套）×100%</w:t>
      </w:r>
    </w:p>
    <w:p>
      <w:pPr>
        <w:spacing w:line="540" w:lineRule="exact"/>
        <w:ind w:firstLine="640" w:firstLineChars="200"/>
        <w:rPr>
          <w:rFonts w:eastAsia="方正仿宋_GBK"/>
          <w:sz w:val="32"/>
          <w:szCs w:val="32"/>
        </w:rPr>
      </w:pPr>
      <w:r>
        <w:rPr>
          <w:rFonts w:eastAsia="方正仿宋_GBK"/>
          <w:sz w:val="32"/>
          <w:szCs w:val="32"/>
        </w:rPr>
        <w:t>数据来源：住房和城乡建设（住房保障）部门</w:t>
      </w:r>
    </w:p>
    <w:p>
      <w:pPr>
        <w:spacing w:line="540" w:lineRule="exact"/>
        <w:ind w:firstLine="640" w:firstLineChars="200"/>
        <w:rPr>
          <w:rFonts w:eastAsia="方正仿宋_GBK"/>
          <w:sz w:val="32"/>
          <w:szCs w:val="32"/>
        </w:rPr>
      </w:pPr>
      <w:r>
        <w:rPr>
          <w:rFonts w:eastAsia="方正仿宋_GBK"/>
          <w:sz w:val="32"/>
          <w:szCs w:val="32"/>
        </w:rPr>
        <w:t>11、社会保险基金征缴率</w:t>
      </w:r>
      <w:r>
        <w:rPr>
          <w:rFonts w:eastAsia="方正仿宋_GBK"/>
          <w:kern w:val="0"/>
          <w:sz w:val="32"/>
          <w:szCs w:val="32"/>
        </w:rPr>
        <w:t>（%）</w:t>
      </w:r>
    </w:p>
    <w:p>
      <w:pPr>
        <w:spacing w:line="540" w:lineRule="exact"/>
        <w:ind w:firstLine="640" w:firstLineChars="200"/>
        <w:rPr>
          <w:rFonts w:eastAsia="方正仿宋_GBK"/>
          <w:kern w:val="0"/>
          <w:sz w:val="32"/>
          <w:szCs w:val="32"/>
        </w:rPr>
      </w:pPr>
      <w:r>
        <w:rPr>
          <w:rFonts w:eastAsia="方正仿宋_GBK"/>
          <w:kern w:val="0"/>
          <w:sz w:val="32"/>
          <w:szCs w:val="32"/>
        </w:rPr>
        <w:t>指标解释：指基本养老保险、失业保险和医疗保险三项保险全部参加的职工人数占应参保职工人数的比率。</w:t>
      </w:r>
    </w:p>
    <w:p>
      <w:pPr>
        <w:spacing w:line="540" w:lineRule="exact"/>
        <w:ind w:firstLine="640" w:firstLineChars="200"/>
        <w:rPr>
          <w:rFonts w:eastAsia="方正仿宋_GBK"/>
          <w:kern w:val="0"/>
          <w:sz w:val="32"/>
          <w:szCs w:val="32"/>
        </w:rPr>
      </w:pPr>
      <w:r>
        <w:rPr>
          <w:rFonts w:eastAsia="方正仿宋_GBK"/>
          <w:kern w:val="0"/>
          <w:sz w:val="32"/>
          <w:szCs w:val="32"/>
        </w:rPr>
        <w:t>计算方法：社会保险基金征缴率＝三项保险全部参加的职工人数（万人）</w:t>
      </w:r>
      <w:r>
        <w:rPr>
          <w:rFonts w:eastAsia="方正仿宋_GBK"/>
          <w:sz w:val="32"/>
          <w:szCs w:val="32"/>
        </w:rPr>
        <w:t>÷</w:t>
      </w:r>
      <w:r>
        <w:rPr>
          <w:rFonts w:eastAsia="方正仿宋_GBK"/>
          <w:kern w:val="0"/>
          <w:sz w:val="32"/>
          <w:szCs w:val="32"/>
        </w:rPr>
        <w:t>应参保职工人数（万人）×100%</w:t>
      </w:r>
    </w:p>
    <w:p>
      <w:pPr>
        <w:spacing w:line="540" w:lineRule="exact"/>
        <w:ind w:firstLine="640" w:firstLineChars="200"/>
        <w:rPr>
          <w:rFonts w:eastAsia="方正仿宋_GBK"/>
          <w:kern w:val="0"/>
          <w:sz w:val="32"/>
          <w:szCs w:val="32"/>
        </w:rPr>
      </w:pPr>
      <w:r>
        <w:rPr>
          <w:rFonts w:eastAsia="方正仿宋_GBK"/>
          <w:kern w:val="0"/>
          <w:sz w:val="32"/>
          <w:szCs w:val="32"/>
        </w:rPr>
        <w:t>数据来源：劳动和社会保障部门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608FC"/>
    <w:rsid w:val="3DB608FC"/>
    <w:rsid w:val="71FD2B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2016-08-23T08:24:00Z</dcterms:created>
  <dc:creator>think</dc:creator>
  <cp:lastModifiedBy>think</cp:lastModifiedBy>
  <dcterms:modified xsi:type="dcterms:W3CDTF">2016-08-23T08:27:27Z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