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eastAsia="方正黑体_GBK"/>
          <w:kern w:val="0"/>
          <w:sz w:val="28"/>
          <w:szCs w:val="28"/>
        </w:rPr>
      </w:pPr>
      <w:r>
        <w:rPr>
          <w:rFonts w:eastAsia="方正黑体_GBK"/>
          <w:kern w:val="0"/>
          <w:sz w:val="28"/>
          <w:szCs w:val="28"/>
        </w:rPr>
        <w:t>附件6：</w:t>
      </w:r>
    </w:p>
    <w:p>
      <w:pPr>
        <w:adjustRightInd w:val="0"/>
        <w:snapToGrid w:val="0"/>
        <w:jc w:val="center"/>
        <w:rPr>
          <w:rFonts w:hint="eastAsia" w:ascii="方正小标宋_GBK" w:hAnsi="黑体" w:eastAsia="方正小标宋_GBK"/>
          <w:kern w:val="0"/>
          <w:sz w:val="36"/>
          <w:szCs w:val="36"/>
        </w:rPr>
      </w:pPr>
      <w:r>
        <w:rPr>
          <w:rFonts w:hint="eastAsia" w:ascii="方正小标宋_GBK" w:hAnsi="黑体" w:eastAsia="方正小标宋_GBK"/>
          <w:kern w:val="0"/>
          <w:sz w:val="36"/>
          <w:szCs w:val="36"/>
        </w:rPr>
        <w:t>云南省园林县城标准</w:t>
      </w:r>
    </w:p>
    <w:p>
      <w:pPr>
        <w:adjustRightInd w:val="0"/>
        <w:snapToGrid w:val="0"/>
        <w:spacing w:line="312" w:lineRule="auto"/>
        <w:rPr>
          <w:rFonts w:hint="eastAsia" w:ascii="黑体" w:hAnsi="黑体" w:eastAsia="黑体"/>
          <w:bCs/>
          <w:sz w:val="32"/>
        </w:rPr>
      </w:pPr>
    </w:p>
    <w:p>
      <w:pPr>
        <w:adjustRightInd w:val="0"/>
        <w:snapToGrid w:val="0"/>
        <w:spacing w:line="312" w:lineRule="auto"/>
        <w:rPr>
          <w:rFonts w:hint="eastAsia" w:ascii="方正黑体_GBK" w:hAnsi="黑体" w:eastAsia="方正黑体_GBK"/>
          <w:kern w:val="0"/>
          <w:sz w:val="36"/>
          <w:szCs w:val="36"/>
        </w:rPr>
      </w:pPr>
      <w:r>
        <w:rPr>
          <w:rFonts w:hint="eastAsia" w:ascii="方正黑体_GBK" w:hAnsi="黑体" w:eastAsia="方正黑体_GBK"/>
          <w:bCs/>
          <w:sz w:val="32"/>
        </w:rPr>
        <w:t>一、云南省园林县城标准指标体系</w:t>
      </w:r>
    </w:p>
    <w:tbl>
      <w:tblPr>
        <w:tblStyle w:val="3"/>
        <w:tblpPr w:leftFromText="180" w:rightFromText="180" w:vertAnchor="text" w:horzAnchor="page" w:tblpX="855" w:tblpY="534"/>
        <w:tblOverlap w:val="never"/>
        <w:tblW w:w="9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592"/>
        <w:gridCol w:w="2235"/>
        <w:gridCol w:w="960"/>
        <w:gridCol w:w="5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trPr>
        <w:tc>
          <w:tcPr>
            <w:tcW w:w="744" w:type="dxa"/>
            <w:vAlign w:val="center"/>
          </w:tcPr>
          <w:p>
            <w:pPr>
              <w:spacing w:line="320" w:lineRule="exact"/>
              <w:jc w:val="center"/>
              <w:rPr>
                <w:rFonts w:ascii="仿宋" w:hAnsi="仿宋" w:eastAsia="仿宋"/>
                <w:kern w:val="0"/>
                <w:sz w:val="24"/>
              </w:rPr>
            </w:pPr>
            <w:r>
              <w:rPr>
                <w:rFonts w:hint="eastAsia" w:ascii="仿宋" w:hAnsi="仿宋" w:eastAsia="仿宋"/>
                <w:kern w:val="0"/>
                <w:sz w:val="24"/>
              </w:rPr>
              <w:t>类型</w:t>
            </w:r>
          </w:p>
        </w:tc>
        <w:tc>
          <w:tcPr>
            <w:tcW w:w="592" w:type="dxa"/>
            <w:vAlign w:val="center"/>
          </w:tcPr>
          <w:p>
            <w:pPr>
              <w:spacing w:line="320" w:lineRule="exact"/>
              <w:jc w:val="center"/>
              <w:rPr>
                <w:rFonts w:ascii="仿宋" w:hAnsi="仿宋" w:eastAsia="仿宋"/>
                <w:kern w:val="0"/>
                <w:sz w:val="24"/>
              </w:rPr>
            </w:pPr>
            <w:r>
              <w:rPr>
                <w:rFonts w:hint="eastAsia" w:ascii="仿宋" w:hAnsi="仿宋" w:eastAsia="仿宋"/>
                <w:kern w:val="0"/>
                <w:sz w:val="24"/>
              </w:rPr>
              <w:t>序号</w:t>
            </w:r>
          </w:p>
        </w:tc>
        <w:tc>
          <w:tcPr>
            <w:tcW w:w="2235" w:type="dxa"/>
            <w:vAlign w:val="center"/>
          </w:tcPr>
          <w:p>
            <w:pPr>
              <w:spacing w:line="320" w:lineRule="exact"/>
              <w:jc w:val="center"/>
              <w:rPr>
                <w:rFonts w:ascii="仿宋" w:hAnsi="仿宋" w:eastAsia="仿宋"/>
                <w:kern w:val="0"/>
                <w:sz w:val="24"/>
              </w:rPr>
            </w:pPr>
            <w:r>
              <w:rPr>
                <w:rFonts w:hint="eastAsia" w:ascii="仿宋" w:hAnsi="仿宋" w:eastAsia="仿宋"/>
                <w:kern w:val="0"/>
                <w:sz w:val="24"/>
              </w:rPr>
              <w:t>指   标</w:t>
            </w:r>
          </w:p>
        </w:tc>
        <w:tc>
          <w:tcPr>
            <w:tcW w:w="960" w:type="dxa"/>
            <w:vAlign w:val="center"/>
          </w:tcPr>
          <w:p>
            <w:pPr>
              <w:spacing w:line="320" w:lineRule="exact"/>
              <w:jc w:val="center"/>
              <w:rPr>
                <w:rFonts w:ascii="仿宋" w:hAnsi="仿宋" w:eastAsia="仿宋"/>
                <w:kern w:val="0"/>
                <w:sz w:val="24"/>
                <w:highlight w:val="yellow"/>
              </w:rPr>
            </w:pPr>
            <w:r>
              <w:rPr>
                <w:rFonts w:hint="eastAsia" w:ascii="仿宋" w:hAnsi="仿宋" w:eastAsia="仿宋"/>
                <w:kern w:val="0"/>
                <w:sz w:val="24"/>
              </w:rPr>
              <w:t>备注</w:t>
            </w:r>
          </w:p>
        </w:tc>
        <w:tc>
          <w:tcPr>
            <w:tcW w:w="5434" w:type="dxa"/>
            <w:vAlign w:val="center"/>
          </w:tcPr>
          <w:p>
            <w:pPr>
              <w:spacing w:line="320" w:lineRule="exact"/>
              <w:jc w:val="center"/>
              <w:rPr>
                <w:rFonts w:hint="eastAsia" w:ascii="仿宋" w:hAnsi="仿宋" w:eastAsia="仿宋"/>
                <w:kern w:val="0"/>
                <w:sz w:val="24"/>
              </w:rPr>
            </w:pPr>
            <w:r>
              <w:rPr>
                <w:rFonts w:hint="eastAsia" w:ascii="仿宋" w:hAnsi="仿宋" w:eastAsia="仿宋"/>
                <w:kern w:val="0"/>
                <w:sz w:val="24"/>
              </w:rPr>
              <w:t>云南省园林县城标准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Merge w:val="restart"/>
            <w:vAlign w:val="center"/>
          </w:tcPr>
          <w:p>
            <w:pPr>
              <w:spacing w:line="320" w:lineRule="exact"/>
              <w:jc w:val="center"/>
              <w:rPr>
                <w:rFonts w:hint="eastAsia" w:ascii="仿宋" w:hAnsi="仿宋" w:eastAsia="仿宋"/>
                <w:kern w:val="0"/>
                <w:sz w:val="28"/>
              </w:rPr>
            </w:pPr>
            <w:r>
              <w:rPr>
                <w:rFonts w:hint="eastAsia" w:ascii="仿宋" w:hAnsi="仿宋" w:eastAsia="仿宋"/>
                <w:kern w:val="0"/>
                <w:sz w:val="28"/>
              </w:rPr>
              <w:t>1</w:t>
            </w:r>
          </w:p>
          <w:p>
            <w:pPr>
              <w:spacing w:line="320" w:lineRule="exact"/>
              <w:jc w:val="center"/>
              <w:rPr>
                <w:rFonts w:hint="eastAsia" w:ascii="仿宋" w:hAnsi="仿宋" w:eastAsia="仿宋"/>
                <w:kern w:val="0"/>
                <w:sz w:val="28"/>
              </w:rPr>
            </w:pPr>
          </w:p>
          <w:p>
            <w:pPr>
              <w:spacing w:line="320" w:lineRule="exact"/>
              <w:jc w:val="center"/>
              <w:rPr>
                <w:rFonts w:ascii="仿宋" w:hAnsi="仿宋" w:eastAsia="仿宋"/>
                <w:kern w:val="0"/>
                <w:sz w:val="28"/>
              </w:rPr>
            </w:pPr>
            <w:r>
              <w:rPr>
                <w:rFonts w:hint="eastAsia" w:ascii="仿宋" w:hAnsi="仿宋" w:eastAsia="仿宋"/>
                <w:kern w:val="0"/>
                <w:sz w:val="28"/>
              </w:rPr>
              <w:t>综合</w:t>
            </w:r>
          </w:p>
          <w:p>
            <w:pPr>
              <w:spacing w:line="320" w:lineRule="exact"/>
              <w:jc w:val="center"/>
              <w:rPr>
                <w:rFonts w:ascii="仿宋" w:hAnsi="仿宋" w:eastAsia="仿宋"/>
                <w:kern w:val="0"/>
                <w:sz w:val="28"/>
              </w:rPr>
            </w:pPr>
            <w:r>
              <w:rPr>
                <w:rFonts w:hint="eastAsia" w:ascii="仿宋" w:hAnsi="仿宋" w:eastAsia="仿宋"/>
                <w:kern w:val="0"/>
                <w:sz w:val="28"/>
              </w:rPr>
              <w:t>管理</w:t>
            </w: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z w:val="24"/>
              </w:rPr>
              <w:t>园林绿化管理机构</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①按照政府职能分工的要求，设立职能健全的专业管理机构；</w:t>
            </w:r>
          </w:p>
          <w:p>
            <w:pPr>
              <w:spacing w:line="300" w:lineRule="exact"/>
              <w:rPr>
                <w:rFonts w:hint="eastAsia" w:ascii="仿宋" w:hAnsi="仿宋" w:eastAsia="仿宋"/>
                <w:sz w:val="24"/>
              </w:rPr>
            </w:pPr>
            <w:r>
              <w:rPr>
                <w:rFonts w:hint="eastAsia" w:ascii="仿宋" w:hAnsi="仿宋" w:eastAsia="仿宋"/>
                <w:sz w:val="24"/>
              </w:rPr>
              <w:t>②依照相关法律法规有效行使园林绿化管理职能；</w:t>
            </w:r>
          </w:p>
          <w:p>
            <w:pPr>
              <w:spacing w:line="300" w:lineRule="exact"/>
              <w:rPr>
                <w:rFonts w:hint="eastAsia" w:ascii="仿宋" w:hAnsi="仿宋" w:eastAsia="仿宋"/>
                <w:sz w:val="24"/>
              </w:rPr>
            </w:pPr>
            <w:r>
              <w:rPr>
                <w:rFonts w:hint="eastAsia" w:ascii="仿宋" w:hAnsi="仿宋" w:eastAsia="仿宋"/>
                <w:sz w:val="24"/>
              </w:rPr>
              <w:t>③专业管理机构领导层至少有一个园林绿化专业（包括从事园林绿化工作5年以上）人员，并具有相应的专业技术队伍，负责全县域园林绿化从规划设计、施工建设、竣工验收到养护管理全过程指导服务与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2</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园林绿化建设维护专项资金</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①政府财政预算中专门列项“城镇园林绿化维护资金”，切实保障园林绿化日常维修养护及相关人员经费；</w:t>
            </w:r>
          </w:p>
          <w:p>
            <w:pPr>
              <w:spacing w:line="300" w:lineRule="exact"/>
              <w:rPr>
                <w:rFonts w:hint="eastAsia" w:ascii="仿宋" w:hAnsi="仿宋" w:eastAsia="仿宋"/>
                <w:sz w:val="24"/>
              </w:rPr>
            </w:pPr>
            <w:r>
              <w:rPr>
                <w:rFonts w:hint="eastAsia" w:ascii="仿宋" w:hAnsi="仿宋" w:eastAsia="仿宋"/>
                <w:sz w:val="24"/>
              </w:rPr>
              <w:t>②园林绿化养护管理资金占本县上一年度园林绿化建设总投入的7-10%，并不低于当地园林绿化养护管理定额标准；</w:t>
            </w:r>
          </w:p>
          <w:p>
            <w:pPr>
              <w:spacing w:line="300" w:lineRule="exact"/>
              <w:rPr>
                <w:rFonts w:hint="eastAsia" w:ascii="仿宋" w:hAnsi="仿宋" w:eastAsia="仿宋"/>
                <w:sz w:val="24"/>
              </w:rPr>
            </w:pPr>
            <w:r>
              <w:rPr>
                <w:rFonts w:hint="eastAsia" w:ascii="仿宋" w:hAnsi="仿宋" w:eastAsia="仿宋"/>
                <w:sz w:val="24"/>
              </w:rPr>
              <w:t>③近三年城镇园林绿化建设资金保障到位，养护资金逐年增加。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3</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z w:val="24"/>
              </w:rPr>
              <w:t>园林绿化科研应用</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①近三年（含申报年）有园林科研成果在实际应用中得到有效推广；</w:t>
            </w:r>
          </w:p>
          <w:p>
            <w:pPr>
              <w:spacing w:line="300" w:lineRule="exact"/>
              <w:rPr>
                <w:rFonts w:hint="eastAsia" w:ascii="仿宋" w:hAnsi="仿宋" w:eastAsia="仿宋"/>
                <w:sz w:val="24"/>
              </w:rPr>
            </w:pPr>
            <w:r>
              <w:rPr>
                <w:rFonts w:hint="eastAsia" w:ascii="仿宋" w:hAnsi="仿宋" w:eastAsia="仿宋"/>
                <w:sz w:val="24"/>
              </w:rPr>
              <w:t>②近三年每年至少组织一次园林绿化技术骨干培训学习或园林技工专业培训、技能比武等。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4</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z w:val="24"/>
              </w:rPr>
              <w:t>《县城绿地系统规划》编制</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kern w:val="0"/>
                <w:sz w:val="24"/>
              </w:rPr>
              <w:t>▼</w:t>
            </w: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《县城绿地系统规划》由具有相关规划资质的单位编制,已纳入县城《总体规划》并与之相协调，经政府批准后得以实施。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5</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绿线管理</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kern w:val="0"/>
                <w:sz w:val="24"/>
              </w:rPr>
              <w:t>▼</w:t>
            </w: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严格实施县城绿线管制制度，按照《城市绿线管理办法》要求划定绿线并面向社会公布，公众可以在至少两种以上的公开媒体上查询绿线划定信息。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6</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蓝线管理</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划定县城蓝线，蓝线的管理和实施符合《城市蓝线管理办法》的规定。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7</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园林绿化制度建设</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制定绿线管理、园林绿化工程管理、养护管理、公示制度、“绿色图章”制度、古树名木保护及防止外来物种入侵等各项管理制度，并严格执行。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8</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园林绿化管理信息技术应用</w:t>
            </w:r>
          </w:p>
        </w:tc>
        <w:tc>
          <w:tcPr>
            <w:tcW w:w="960" w:type="dxa"/>
            <w:vAlign w:val="center"/>
          </w:tcPr>
          <w:p>
            <w:pPr>
              <w:tabs>
                <w:tab w:val="left" w:pos="95"/>
              </w:tabs>
              <w:spacing w:line="300" w:lineRule="exact"/>
              <w:jc w:val="center"/>
              <w:rPr>
                <w:rFonts w:hint="eastAsia" w:ascii="仿宋" w:hAnsi="仿宋" w:eastAsia="仿宋"/>
                <w:kern w:val="0"/>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①已建立园林绿化信息数据库、信息发布与社会服务信息共享平台；</w:t>
            </w:r>
          </w:p>
          <w:p>
            <w:pPr>
              <w:spacing w:line="300" w:lineRule="exact"/>
              <w:rPr>
                <w:rFonts w:hint="eastAsia" w:ascii="仿宋" w:hAnsi="仿宋" w:eastAsia="仿宋"/>
                <w:sz w:val="24"/>
              </w:rPr>
            </w:pPr>
            <w:r>
              <w:rPr>
                <w:rFonts w:hint="eastAsia" w:ascii="仿宋" w:hAnsi="仿宋" w:eastAsia="仿宋"/>
                <w:sz w:val="24"/>
              </w:rPr>
              <w:t>②县城园林绿化建设和管理实施动态监管；</w:t>
            </w:r>
          </w:p>
          <w:p>
            <w:pPr>
              <w:spacing w:line="300" w:lineRule="exact"/>
              <w:rPr>
                <w:rFonts w:hint="eastAsia" w:ascii="仿宋" w:hAnsi="仿宋" w:eastAsia="仿宋"/>
                <w:sz w:val="24"/>
              </w:rPr>
            </w:pPr>
            <w:r>
              <w:rPr>
                <w:rFonts w:hint="eastAsia" w:ascii="仿宋" w:hAnsi="仿宋" w:eastAsia="仿宋"/>
                <w:sz w:val="24"/>
              </w:rPr>
              <w:t>③保障公众参与和社会监督。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9</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公众对县城园林绿化的满意率(%)</w:t>
            </w:r>
          </w:p>
        </w:tc>
        <w:tc>
          <w:tcPr>
            <w:tcW w:w="960" w:type="dxa"/>
            <w:vAlign w:val="center"/>
          </w:tcPr>
          <w:p>
            <w:pPr>
              <w:tabs>
                <w:tab w:val="left" w:pos="95"/>
              </w:tabs>
              <w:spacing w:line="300" w:lineRule="exact"/>
              <w:jc w:val="center"/>
              <w:rPr>
                <w:rFonts w:hint="eastAsia" w:ascii="仿宋" w:hAnsi="仿宋" w:eastAsia="仿宋"/>
                <w:kern w:val="0"/>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44" w:type="dxa"/>
            <w:vMerge w:val="restart"/>
            <w:vAlign w:val="center"/>
          </w:tcPr>
          <w:p>
            <w:pPr>
              <w:spacing w:line="360" w:lineRule="exact"/>
              <w:jc w:val="center"/>
              <w:rPr>
                <w:rFonts w:hint="eastAsia" w:ascii="仿宋" w:hAnsi="仿宋" w:eastAsia="仿宋"/>
                <w:kern w:val="0"/>
                <w:sz w:val="28"/>
              </w:rPr>
            </w:pPr>
            <w:r>
              <w:rPr>
                <w:rFonts w:hint="eastAsia" w:ascii="仿宋" w:hAnsi="仿宋" w:eastAsia="仿宋"/>
                <w:kern w:val="0"/>
                <w:sz w:val="28"/>
              </w:rPr>
              <w:t>2</w:t>
            </w:r>
          </w:p>
          <w:p>
            <w:pPr>
              <w:spacing w:line="360" w:lineRule="exact"/>
              <w:jc w:val="center"/>
              <w:rPr>
                <w:rFonts w:hint="eastAsia" w:ascii="仿宋" w:hAnsi="仿宋" w:eastAsia="仿宋"/>
                <w:kern w:val="0"/>
                <w:sz w:val="28"/>
              </w:rPr>
            </w:pPr>
          </w:p>
          <w:p>
            <w:pPr>
              <w:spacing w:line="360" w:lineRule="exact"/>
              <w:jc w:val="center"/>
              <w:rPr>
                <w:rFonts w:ascii="仿宋" w:hAnsi="仿宋" w:eastAsia="仿宋"/>
                <w:kern w:val="0"/>
                <w:sz w:val="28"/>
              </w:rPr>
            </w:pPr>
            <w:r>
              <w:rPr>
                <w:rFonts w:hint="eastAsia" w:ascii="仿宋" w:hAnsi="仿宋" w:eastAsia="仿宋"/>
                <w:kern w:val="0"/>
                <w:sz w:val="28"/>
              </w:rPr>
              <w:t>绿地</w:t>
            </w:r>
          </w:p>
          <w:p>
            <w:pPr>
              <w:spacing w:line="360" w:lineRule="exact"/>
              <w:jc w:val="center"/>
              <w:rPr>
                <w:rFonts w:ascii="仿宋" w:hAnsi="仿宋" w:eastAsia="仿宋"/>
                <w:kern w:val="0"/>
                <w:sz w:val="28"/>
              </w:rPr>
            </w:pPr>
            <w:r>
              <w:rPr>
                <w:rFonts w:hint="eastAsia" w:ascii="仿宋" w:hAnsi="仿宋" w:eastAsia="仿宋"/>
                <w:kern w:val="0"/>
                <w:sz w:val="28"/>
              </w:rPr>
              <w:t>建设</w:t>
            </w: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建成区绿化覆盖率(%)</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建成区绿地率(%)</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w:t>
            </w:r>
            <w:r>
              <w:rPr>
                <w:rFonts w:hint="eastAsia" w:ascii="仿宋" w:hAnsi="仿宋" w:eastAsia="仿宋"/>
                <w:spacing w:val="8"/>
                <w:kern w:val="0"/>
                <w:sz w:val="24"/>
              </w:rPr>
              <w:t>33</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3</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建成区人均公园绿地面积</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≥9.00㎡/人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4</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公园绿地服务半径覆盖率(%)</w:t>
            </w:r>
          </w:p>
        </w:tc>
        <w:tc>
          <w:tcPr>
            <w:tcW w:w="960"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p>
            <w:pPr>
              <w:spacing w:line="300" w:lineRule="exact"/>
              <w:rPr>
                <w:rFonts w:hint="eastAsia" w:ascii="仿宋" w:hAnsi="仿宋" w:eastAsia="仿宋"/>
                <w:sz w:val="24"/>
              </w:rPr>
            </w:pPr>
            <w:r>
              <w:rPr>
                <w:rFonts w:hint="eastAsia" w:ascii="仿宋" w:hAnsi="仿宋" w:eastAsia="仿宋"/>
                <w:sz w:val="24"/>
              </w:rPr>
              <w:t>1000-2000平方米公园绿地，居民出行300米，2000平方米以上公园绿地，居民出行500米；历史文化街区参照《城市园林绿化评价标准》计算。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5</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pacing w:val="8"/>
                <w:kern w:val="0"/>
                <w:sz w:val="24"/>
              </w:rPr>
              <w:t>符合《公园设计规范》要求的</w:t>
            </w:r>
            <w:r>
              <w:rPr>
                <w:rFonts w:hint="eastAsia" w:ascii="仿宋" w:hAnsi="仿宋" w:eastAsia="仿宋"/>
                <w:kern w:val="0"/>
                <w:sz w:val="24"/>
              </w:rPr>
              <w:t>综合公园（个）</w:t>
            </w:r>
          </w:p>
        </w:tc>
        <w:tc>
          <w:tcPr>
            <w:tcW w:w="960" w:type="dxa"/>
            <w:vAlign w:val="center"/>
          </w:tcPr>
          <w:p>
            <w:pPr>
              <w:spacing w:line="300" w:lineRule="exact"/>
              <w:jc w:val="center"/>
              <w:rPr>
                <w:rFonts w:hint="eastAsia" w:ascii="仿宋" w:hAnsi="仿宋" w:eastAsia="仿宋"/>
                <w:kern w:val="0"/>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6</w:t>
            </w:r>
          </w:p>
        </w:tc>
        <w:tc>
          <w:tcPr>
            <w:tcW w:w="2235" w:type="dxa"/>
            <w:vAlign w:val="center"/>
          </w:tcPr>
          <w:p>
            <w:pPr>
              <w:spacing w:line="300" w:lineRule="exact"/>
              <w:rPr>
                <w:rFonts w:hint="eastAsia" w:ascii="仿宋" w:hAnsi="仿宋" w:eastAsia="仿宋"/>
                <w:spacing w:val="8"/>
                <w:kern w:val="0"/>
                <w:sz w:val="24"/>
              </w:rPr>
            </w:pPr>
            <w:r>
              <w:rPr>
                <w:rFonts w:hint="eastAsia" w:ascii="仿宋" w:hAnsi="仿宋" w:eastAsia="仿宋"/>
                <w:kern w:val="0"/>
                <w:sz w:val="24"/>
              </w:rPr>
              <w:t>道路绿化普及率(%)</w:t>
            </w:r>
          </w:p>
        </w:tc>
        <w:tc>
          <w:tcPr>
            <w:tcW w:w="960" w:type="dxa"/>
            <w:vAlign w:val="center"/>
          </w:tcPr>
          <w:p>
            <w:pPr>
              <w:spacing w:line="300" w:lineRule="exact"/>
              <w:jc w:val="center"/>
              <w:rPr>
                <w:rFonts w:hint="eastAsia" w:ascii="仿宋" w:hAnsi="仿宋" w:eastAsia="仿宋"/>
                <w:kern w:val="0"/>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7</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新建、改建居住区绿地达标率(%)</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8</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城镇防护绿地实施率(%)</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9</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道路绿地达标率(%)</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10</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林荫路推广率(%)</w:t>
            </w:r>
          </w:p>
        </w:tc>
        <w:tc>
          <w:tcPr>
            <w:tcW w:w="960" w:type="dxa"/>
            <w:vAlign w:val="center"/>
          </w:tcPr>
          <w:p>
            <w:pPr>
              <w:spacing w:line="300" w:lineRule="exact"/>
              <w:jc w:val="center"/>
              <w:rPr>
                <w:rFonts w:hint="eastAsia" w:ascii="仿宋" w:hAnsi="仿宋" w:eastAsia="仿宋"/>
                <w:kern w:val="0"/>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11</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林荫停车场推广率(%)</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12</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河道绿化普及率(%)</w:t>
            </w:r>
          </w:p>
        </w:tc>
        <w:tc>
          <w:tcPr>
            <w:tcW w:w="960" w:type="dxa"/>
            <w:vAlign w:val="center"/>
          </w:tcPr>
          <w:p>
            <w:pPr>
              <w:spacing w:line="300" w:lineRule="exact"/>
              <w:jc w:val="center"/>
              <w:rPr>
                <w:rFonts w:hint="eastAsia" w:ascii="仿宋" w:hAnsi="仿宋" w:eastAsia="仿宋"/>
                <w:kern w:val="0"/>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 xml:space="preserve">≥85%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13</w:t>
            </w:r>
          </w:p>
        </w:tc>
        <w:tc>
          <w:tcPr>
            <w:tcW w:w="2235" w:type="dxa"/>
            <w:vAlign w:val="center"/>
          </w:tcPr>
          <w:p>
            <w:pPr>
              <w:spacing w:line="300" w:lineRule="exact"/>
              <w:rPr>
                <w:rFonts w:hint="eastAsia" w:ascii="仿宋" w:hAnsi="仿宋" w:eastAsia="仿宋"/>
                <w:w w:val="90"/>
                <w:kern w:val="0"/>
                <w:sz w:val="24"/>
              </w:rPr>
            </w:pPr>
            <w:r>
              <w:rPr>
                <w:rFonts w:hint="eastAsia" w:ascii="仿宋" w:hAnsi="仿宋" w:eastAsia="仿宋"/>
                <w:sz w:val="24"/>
              </w:rPr>
              <w:t>受损弃置地生态与景观恢复率(%)</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kern w:val="0"/>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top"/>
          </w:tcPr>
          <w:p>
            <w:pPr>
              <w:jc w:val="center"/>
              <w:rPr>
                <w:rFonts w:hint="eastAsia" w:ascii="仿宋" w:hAnsi="仿宋" w:eastAsia="仿宋"/>
                <w:bCs/>
                <w:kern w:val="0"/>
                <w:sz w:val="24"/>
              </w:rPr>
            </w:pPr>
            <w:r>
              <w:rPr>
                <w:rFonts w:hint="eastAsia" w:ascii="仿宋" w:hAnsi="仿宋" w:eastAsia="仿宋"/>
                <w:bCs/>
                <w:kern w:val="0"/>
                <w:sz w:val="24"/>
              </w:rPr>
              <w:t>14</w:t>
            </w:r>
          </w:p>
        </w:tc>
        <w:tc>
          <w:tcPr>
            <w:tcW w:w="2235" w:type="dxa"/>
            <w:vAlign w:val="top"/>
          </w:tcPr>
          <w:p>
            <w:pPr>
              <w:rPr>
                <w:rFonts w:hint="eastAsia" w:ascii="仿宋" w:hAnsi="仿宋" w:eastAsia="仿宋"/>
                <w:sz w:val="24"/>
              </w:rPr>
            </w:pPr>
            <w:r>
              <w:rPr>
                <w:rFonts w:hint="eastAsia" w:ascii="仿宋" w:hAnsi="仿宋" w:eastAsia="仿宋"/>
                <w:sz w:val="24"/>
              </w:rPr>
              <w:t>园林单位、园林小区建设比例（%）</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744" w:type="dxa"/>
            <w:vMerge w:val="restart"/>
            <w:vAlign w:val="center"/>
          </w:tcPr>
          <w:p>
            <w:pPr>
              <w:spacing w:line="320" w:lineRule="exact"/>
              <w:jc w:val="center"/>
              <w:rPr>
                <w:rFonts w:hint="eastAsia" w:ascii="仿宋" w:hAnsi="仿宋" w:eastAsia="仿宋"/>
                <w:kern w:val="0"/>
                <w:sz w:val="28"/>
              </w:rPr>
            </w:pPr>
          </w:p>
          <w:p>
            <w:pPr>
              <w:spacing w:line="320" w:lineRule="exact"/>
              <w:jc w:val="center"/>
              <w:rPr>
                <w:rFonts w:hint="eastAsia" w:ascii="仿宋" w:hAnsi="仿宋" w:eastAsia="仿宋"/>
                <w:kern w:val="0"/>
                <w:sz w:val="28"/>
              </w:rPr>
            </w:pPr>
          </w:p>
          <w:p>
            <w:pPr>
              <w:spacing w:line="320" w:lineRule="exact"/>
              <w:jc w:val="center"/>
              <w:rPr>
                <w:rFonts w:hint="eastAsia" w:ascii="仿宋" w:hAnsi="仿宋" w:eastAsia="仿宋"/>
                <w:kern w:val="0"/>
                <w:sz w:val="28"/>
              </w:rPr>
            </w:pPr>
          </w:p>
          <w:p>
            <w:pPr>
              <w:spacing w:line="320" w:lineRule="exact"/>
              <w:jc w:val="center"/>
              <w:rPr>
                <w:rFonts w:hint="eastAsia" w:ascii="仿宋" w:hAnsi="仿宋" w:eastAsia="仿宋"/>
                <w:kern w:val="0"/>
                <w:sz w:val="28"/>
              </w:rPr>
            </w:pPr>
          </w:p>
          <w:p>
            <w:pPr>
              <w:spacing w:line="320" w:lineRule="exact"/>
              <w:jc w:val="center"/>
              <w:rPr>
                <w:rFonts w:hint="eastAsia" w:ascii="仿宋" w:hAnsi="仿宋" w:eastAsia="仿宋"/>
                <w:kern w:val="0"/>
                <w:sz w:val="28"/>
              </w:rPr>
            </w:pPr>
          </w:p>
          <w:p>
            <w:pPr>
              <w:spacing w:line="320" w:lineRule="exact"/>
              <w:jc w:val="center"/>
              <w:rPr>
                <w:rFonts w:hint="eastAsia" w:ascii="仿宋" w:hAnsi="仿宋" w:eastAsia="仿宋"/>
                <w:kern w:val="0"/>
                <w:sz w:val="28"/>
              </w:rPr>
            </w:pPr>
          </w:p>
          <w:p>
            <w:pPr>
              <w:spacing w:line="320" w:lineRule="exact"/>
              <w:jc w:val="center"/>
              <w:rPr>
                <w:rFonts w:hint="eastAsia" w:ascii="仿宋" w:hAnsi="仿宋" w:eastAsia="仿宋"/>
                <w:kern w:val="0"/>
                <w:sz w:val="28"/>
              </w:rPr>
            </w:pPr>
          </w:p>
          <w:p>
            <w:pPr>
              <w:spacing w:line="320" w:lineRule="exact"/>
              <w:jc w:val="center"/>
              <w:rPr>
                <w:rFonts w:hint="eastAsia" w:ascii="仿宋" w:hAnsi="仿宋" w:eastAsia="仿宋"/>
                <w:kern w:val="0"/>
                <w:sz w:val="28"/>
              </w:rPr>
            </w:pPr>
            <w:r>
              <w:rPr>
                <w:rFonts w:hint="eastAsia" w:ascii="仿宋" w:hAnsi="仿宋" w:eastAsia="仿宋"/>
                <w:kern w:val="0"/>
                <w:sz w:val="28"/>
              </w:rPr>
              <w:t>3</w:t>
            </w:r>
          </w:p>
          <w:p>
            <w:pPr>
              <w:spacing w:line="320" w:lineRule="exact"/>
              <w:jc w:val="center"/>
              <w:rPr>
                <w:rFonts w:ascii="仿宋" w:hAnsi="仿宋" w:eastAsia="仿宋"/>
                <w:kern w:val="0"/>
                <w:sz w:val="28"/>
              </w:rPr>
            </w:pPr>
          </w:p>
          <w:p>
            <w:pPr>
              <w:spacing w:line="320" w:lineRule="exact"/>
              <w:jc w:val="center"/>
              <w:rPr>
                <w:rFonts w:ascii="仿宋" w:hAnsi="仿宋" w:eastAsia="仿宋"/>
                <w:kern w:val="0"/>
                <w:sz w:val="28"/>
              </w:rPr>
            </w:pPr>
            <w:r>
              <w:rPr>
                <w:rFonts w:hint="eastAsia" w:ascii="仿宋" w:hAnsi="仿宋" w:eastAsia="仿宋"/>
                <w:kern w:val="0"/>
                <w:sz w:val="28"/>
              </w:rPr>
              <w:t>建设</w:t>
            </w:r>
          </w:p>
          <w:p>
            <w:pPr>
              <w:spacing w:line="320" w:lineRule="exact"/>
              <w:jc w:val="center"/>
              <w:rPr>
                <w:rFonts w:ascii="仿宋" w:hAnsi="仿宋" w:eastAsia="仿宋"/>
                <w:kern w:val="0"/>
                <w:sz w:val="28"/>
              </w:rPr>
            </w:pPr>
            <w:r>
              <w:rPr>
                <w:rFonts w:hint="eastAsia" w:ascii="仿宋" w:hAnsi="仿宋" w:eastAsia="仿宋"/>
                <w:kern w:val="0"/>
                <w:sz w:val="28"/>
              </w:rPr>
              <w:t>管控</w:t>
            </w: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绿地系统规划执行和建设管理</w:t>
            </w:r>
          </w:p>
        </w:tc>
        <w:tc>
          <w:tcPr>
            <w:tcW w:w="960" w:type="dxa"/>
            <w:vAlign w:val="center"/>
          </w:tcPr>
          <w:p>
            <w:pPr>
              <w:spacing w:line="300" w:lineRule="exact"/>
              <w:jc w:val="center"/>
              <w:rPr>
                <w:rFonts w:hint="eastAsia" w:ascii="仿宋" w:hAnsi="仿宋" w:eastAsia="仿宋"/>
                <w:sz w:val="24"/>
                <w:highlight w:val="yellow"/>
              </w:rPr>
            </w:pPr>
          </w:p>
        </w:tc>
        <w:tc>
          <w:tcPr>
            <w:tcW w:w="5434" w:type="dxa"/>
            <w:vAlign w:val="center"/>
          </w:tcPr>
          <w:p>
            <w:pPr>
              <w:pStyle w:val="4"/>
              <w:spacing w:line="300" w:lineRule="exact"/>
              <w:ind w:firstLine="0" w:firstLineChars="0"/>
              <w:rPr>
                <w:rFonts w:hint="eastAsia" w:ascii="仿宋" w:hAnsi="仿宋" w:eastAsia="仿宋"/>
                <w:sz w:val="24"/>
              </w:rPr>
            </w:pPr>
            <w:r>
              <w:rPr>
                <w:rFonts w:hint="eastAsia" w:ascii="仿宋" w:hAnsi="仿宋" w:eastAsia="仿宋"/>
                <w:sz w:val="24"/>
              </w:rPr>
              <w:t>①绿地系统规划得到有效执行，绿地建设符合规划，并鼓励见缝插绿；</w:t>
            </w:r>
          </w:p>
          <w:p>
            <w:pPr>
              <w:pStyle w:val="4"/>
              <w:spacing w:line="300" w:lineRule="exact"/>
              <w:ind w:firstLine="0" w:firstLineChars="0"/>
              <w:rPr>
                <w:rFonts w:hint="eastAsia" w:ascii="仿宋" w:hAnsi="仿宋" w:eastAsia="仿宋"/>
                <w:sz w:val="24"/>
                <w:highlight w:val="yellow"/>
              </w:rPr>
            </w:pPr>
            <w:r>
              <w:rPr>
                <w:rFonts w:hint="eastAsia" w:ascii="仿宋" w:hAnsi="仿宋" w:eastAsia="仿宋"/>
                <w:sz w:val="24"/>
              </w:rPr>
              <w:t>②绿化建设成果得到有效保护，规划绿地性质无改变；</w:t>
            </w:r>
          </w:p>
          <w:p>
            <w:pPr>
              <w:spacing w:line="300" w:lineRule="exact"/>
              <w:rPr>
                <w:rFonts w:hint="eastAsia" w:ascii="仿宋" w:hAnsi="仿宋" w:eastAsia="仿宋"/>
                <w:sz w:val="24"/>
                <w:highlight w:val="yellow"/>
              </w:rPr>
            </w:pPr>
            <w:r>
              <w:rPr>
                <w:rFonts w:hint="eastAsia" w:ascii="仿宋" w:hAnsi="仿宋" w:eastAsia="仿宋"/>
                <w:spacing w:val="8"/>
                <w:kern w:val="0"/>
                <w:sz w:val="24"/>
              </w:rPr>
              <w:t>③</w:t>
            </w:r>
            <w:r>
              <w:rPr>
                <w:rFonts w:hint="eastAsia" w:ascii="仿宋" w:hAnsi="仿宋" w:eastAsia="仿宋"/>
                <w:sz w:val="24"/>
              </w:rPr>
              <w:t>园林绿化主管部门参与公园绿地建设项目设计和项目竣工验收；纪检、监察、审计等部门参与项目招投标、监理、竣工验收和审计。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z w:val="24"/>
              </w:rPr>
              <w:t>大树移植、行道树树种更换等控制管理</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近三年，公园绿地、道路绿化建设或改、扩建中未曾发生大规模（群植10株以上）移植大树（胸径20cm以上的落叶乔木、胸径在15cm以上的常绿乔木以及高度超过6米的针叶树）、未经专家论证及社会公示认可而更换行道树树种等现象；</w:t>
            </w:r>
          </w:p>
          <w:p>
            <w:pPr>
              <w:spacing w:line="300" w:lineRule="exact"/>
              <w:rPr>
                <w:rFonts w:hint="eastAsia" w:ascii="仿宋" w:hAnsi="仿宋" w:eastAsia="仿宋"/>
                <w:sz w:val="24"/>
              </w:rPr>
            </w:pPr>
            <w:r>
              <w:rPr>
                <w:rFonts w:hint="eastAsia" w:ascii="仿宋" w:hAnsi="仿宋" w:eastAsia="仿宋"/>
                <w:sz w:val="24"/>
              </w:rPr>
              <w:t>②制定严格控制大树移植及随意更换行道树树种的制度或管理措施，并落实良好。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744" w:type="dxa"/>
            <w:vMerge w:val="continue"/>
            <w:vAlign w:val="center"/>
          </w:tcPr>
          <w:p>
            <w:pPr>
              <w:spacing w:line="320" w:lineRule="exact"/>
              <w:jc w:val="center"/>
              <w:rPr>
                <w:rFonts w:hint="eastAsia" w:ascii="仿宋" w:hAnsi="仿宋" w:eastAsia="仿宋"/>
                <w:kern w:val="0"/>
                <w:sz w:val="28"/>
              </w:rPr>
            </w:pPr>
            <w:r>
              <w:rPr>
                <w:rFonts w:hint="eastAsia" w:ascii="仿宋" w:hAnsi="仿宋" w:eastAsia="仿宋"/>
                <w:kern w:val="0"/>
                <w:sz w:val="28"/>
              </w:rPr>
              <w:t>vhr</w:t>
            </w: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3</w:t>
            </w:r>
          </w:p>
        </w:tc>
        <w:tc>
          <w:tcPr>
            <w:tcW w:w="2235" w:type="dxa"/>
            <w:vAlign w:val="center"/>
          </w:tcPr>
          <w:p>
            <w:pPr>
              <w:spacing w:line="300" w:lineRule="exact"/>
              <w:rPr>
                <w:rFonts w:hint="eastAsia" w:ascii="仿宋" w:hAnsi="仿宋" w:eastAsia="仿宋"/>
                <w:sz w:val="24"/>
              </w:rPr>
            </w:pPr>
            <w:r>
              <w:rPr>
                <w:rFonts w:hint="eastAsia" w:ascii="仿宋" w:hAnsi="仿宋" w:eastAsia="仿宋"/>
                <w:sz w:val="24"/>
              </w:rPr>
              <w:t>公园规范化管理</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①每天按时向公众开放；</w:t>
            </w:r>
          </w:p>
          <w:p>
            <w:pPr>
              <w:spacing w:line="300" w:lineRule="exact"/>
              <w:rPr>
                <w:rFonts w:hint="eastAsia" w:ascii="仿宋" w:hAnsi="仿宋" w:eastAsia="仿宋"/>
                <w:sz w:val="24"/>
                <w:szCs w:val="21"/>
              </w:rPr>
            </w:pPr>
            <w:r>
              <w:rPr>
                <w:rFonts w:hint="eastAsia" w:ascii="仿宋" w:hAnsi="仿宋" w:eastAsia="仿宋"/>
                <w:sz w:val="24"/>
              </w:rPr>
              <w:t>②公园绿地占陆地总面积70%以上，且</w:t>
            </w:r>
            <w:r>
              <w:rPr>
                <w:rFonts w:hint="eastAsia" w:ascii="仿宋" w:hAnsi="仿宋" w:eastAsia="仿宋"/>
                <w:sz w:val="24"/>
                <w:szCs w:val="21"/>
              </w:rPr>
              <w:t>环境优美、秩序优良、服务优质；</w:t>
            </w:r>
          </w:p>
          <w:p>
            <w:pPr>
              <w:spacing w:line="300" w:lineRule="exact"/>
              <w:rPr>
                <w:rFonts w:hint="eastAsia" w:ascii="仿宋" w:hAnsi="仿宋" w:eastAsia="仿宋"/>
                <w:sz w:val="24"/>
              </w:rPr>
            </w:pPr>
            <w:r>
              <w:rPr>
                <w:rFonts w:hint="eastAsia" w:ascii="仿宋" w:hAnsi="仿宋" w:eastAsia="仿宋"/>
                <w:sz w:val="24"/>
              </w:rPr>
              <w:t>③公园设施完好,安全运行。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4</w:t>
            </w:r>
          </w:p>
        </w:tc>
        <w:tc>
          <w:tcPr>
            <w:tcW w:w="2235" w:type="dxa"/>
            <w:vAlign w:val="center"/>
          </w:tcPr>
          <w:p>
            <w:pPr>
              <w:spacing w:line="300" w:lineRule="exact"/>
              <w:rPr>
                <w:rFonts w:hint="eastAsia" w:ascii="仿宋" w:hAnsi="仿宋" w:eastAsia="仿宋"/>
                <w:sz w:val="24"/>
              </w:rPr>
            </w:pPr>
            <w:r>
              <w:rPr>
                <w:rFonts w:hint="eastAsia" w:ascii="仿宋" w:hAnsi="仿宋" w:eastAsia="仿宋"/>
                <w:kern w:val="0"/>
                <w:sz w:val="24"/>
              </w:rPr>
              <w:t>古树名木及后备资源保护</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①古树名木保护率100%；</w:t>
            </w:r>
          </w:p>
          <w:p>
            <w:pPr>
              <w:spacing w:line="300" w:lineRule="exact"/>
              <w:rPr>
                <w:rFonts w:hint="eastAsia" w:ascii="仿宋" w:hAnsi="仿宋" w:eastAsia="仿宋"/>
                <w:sz w:val="24"/>
              </w:rPr>
            </w:pPr>
            <w:r>
              <w:rPr>
                <w:rFonts w:hint="eastAsia" w:ascii="仿宋" w:hAnsi="仿宋" w:eastAsia="仿宋"/>
                <w:sz w:val="24"/>
              </w:rPr>
              <w:t>②完成树龄超过50年（含）的古树后备资源普查、建档、挂牌并确定保护责任人或责任单位；</w:t>
            </w:r>
          </w:p>
          <w:p>
            <w:pPr>
              <w:spacing w:line="300" w:lineRule="exact"/>
              <w:rPr>
                <w:rFonts w:hint="eastAsia" w:ascii="仿宋" w:hAnsi="仿宋" w:eastAsia="仿宋"/>
                <w:sz w:val="24"/>
              </w:rPr>
            </w:pPr>
            <w:r>
              <w:rPr>
                <w:rFonts w:hint="eastAsia" w:ascii="仿宋" w:hAnsi="仿宋" w:eastAsia="仿宋"/>
                <w:kern w:val="0"/>
                <w:sz w:val="24"/>
              </w:rPr>
              <w:t>③</w:t>
            </w:r>
            <w:r>
              <w:rPr>
                <w:rFonts w:hint="eastAsia" w:ascii="仿宋" w:hAnsi="仿宋" w:eastAsia="仿宋"/>
                <w:sz w:val="24"/>
              </w:rPr>
              <w:t>设立有专门的古树名木及树龄超过50年（含）的古树后备资源保护经费，并能满足保护需要；</w:t>
            </w:r>
          </w:p>
          <w:p>
            <w:pPr>
              <w:spacing w:line="300" w:lineRule="exact"/>
              <w:rPr>
                <w:rFonts w:hint="eastAsia" w:ascii="仿宋" w:hAnsi="仿宋" w:eastAsia="仿宋"/>
                <w:sz w:val="24"/>
              </w:rPr>
            </w:pPr>
            <w:r>
              <w:rPr>
                <w:rFonts w:hint="eastAsia" w:ascii="仿宋" w:hAnsi="仿宋" w:eastAsia="仿宋"/>
                <w:kern w:val="0"/>
                <w:sz w:val="24"/>
              </w:rPr>
              <w:t>④严禁古树名木移植。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5</w:t>
            </w:r>
          </w:p>
        </w:tc>
        <w:tc>
          <w:tcPr>
            <w:tcW w:w="2235" w:type="dxa"/>
            <w:vAlign w:val="center"/>
          </w:tcPr>
          <w:p>
            <w:pPr>
              <w:spacing w:line="300" w:lineRule="exact"/>
              <w:rPr>
                <w:rFonts w:hint="eastAsia" w:ascii="仿宋" w:hAnsi="仿宋" w:eastAsia="仿宋"/>
                <w:sz w:val="24"/>
              </w:rPr>
            </w:pPr>
            <w:r>
              <w:rPr>
                <w:rFonts w:hint="eastAsia" w:ascii="仿宋" w:hAnsi="仿宋" w:eastAsia="仿宋"/>
                <w:kern w:val="0"/>
                <w:sz w:val="24"/>
              </w:rPr>
              <w:t>节约型绿地建设</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①无侵占、破坏现有绿地等破坏园林绿化成果情况发生；</w:t>
            </w:r>
          </w:p>
          <w:p>
            <w:pPr>
              <w:spacing w:line="300" w:lineRule="exact"/>
              <w:rPr>
                <w:rFonts w:hint="eastAsia" w:ascii="仿宋" w:hAnsi="仿宋" w:eastAsia="仿宋"/>
                <w:sz w:val="24"/>
              </w:rPr>
            </w:pPr>
            <w:r>
              <w:rPr>
                <w:rFonts w:hint="eastAsia" w:ascii="仿宋" w:hAnsi="仿宋" w:eastAsia="仿宋"/>
                <w:sz w:val="24"/>
              </w:rPr>
              <w:t>②园林绿化设计中严格控制大广场、水景喷泉、大草坪、大色块、雕塑、灯具造景、单一层次种植等情况；</w:t>
            </w:r>
          </w:p>
          <w:p>
            <w:pPr>
              <w:spacing w:line="300" w:lineRule="exact"/>
              <w:rPr>
                <w:rFonts w:hint="eastAsia" w:ascii="仿宋" w:hAnsi="仿宋" w:eastAsia="仿宋"/>
                <w:sz w:val="24"/>
              </w:rPr>
            </w:pPr>
            <w:r>
              <w:rPr>
                <w:rFonts w:hint="eastAsia" w:ascii="仿宋" w:hAnsi="仿宋" w:eastAsia="仿宋"/>
                <w:kern w:val="0"/>
                <w:sz w:val="24"/>
              </w:rPr>
              <w:t>③</w:t>
            </w:r>
            <w:r>
              <w:rPr>
                <w:rFonts w:hint="eastAsia" w:ascii="仿宋" w:hAnsi="仿宋" w:eastAsia="仿宋"/>
                <w:sz w:val="24"/>
              </w:rPr>
              <w:t>绿地建设中严格控制移植大树、栽植未驯化的外来植物、应用假花假树、景观水体硬质驳岸或植物亮化等现象。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6</w:t>
            </w:r>
          </w:p>
        </w:tc>
        <w:tc>
          <w:tcPr>
            <w:tcW w:w="2235" w:type="dxa"/>
            <w:vAlign w:val="center"/>
          </w:tcPr>
          <w:p>
            <w:pPr>
              <w:spacing w:line="300" w:lineRule="exact"/>
              <w:rPr>
                <w:rFonts w:hint="eastAsia" w:ascii="仿宋" w:hAnsi="仿宋" w:eastAsia="仿宋"/>
                <w:sz w:val="24"/>
              </w:rPr>
            </w:pPr>
            <w:r>
              <w:rPr>
                <w:rFonts w:hint="eastAsia" w:ascii="仿宋" w:hAnsi="仿宋" w:eastAsia="仿宋"/>
                <w:kern w:val="0"/>
                <w:sz w:val="24"/>
              </w:rPr>
              <w:t>新建、改建、扩建公园绿地中硬质铺装透水技术应用实施率(%)</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kern w:val="0"/>
                <w:sz w:val="24"/>
              </w:rPr>
              <w:t>☆</w:t>
            </w:r>
          </w:p>
        </w:tc>
        <w:tc>
          <w:tcPr>
            <w:tcW w:w="5434" w:type="dxa"/>
            <w:vAlign w:val="center"/>
          </w:tcPr>
          <w:p>
            <w:pPr>
              <w:spacing w:line="300" w:lineRule="exact"/>
              <w:rPr>
                <w:rFonts w:hint="eastAsia" w:ascii="仿宋" w:hAnsi="仿宋" w:eastAsia="仿宋"/>
                <w:sz w:val="24"/>
              </w:rPr>
            </w:pPr>
            <w:r>
              <w:rPr>
                <w:rFonts w:hint="eastAsia" w:ascii="仿宋" w:hAnsi="仿宋" w:eastAsia="仿宋"/>
                <w:kern w:val="0"/>
                <w:sz w:val="24"/>
              </w:rPr>
              <w:t>近三年，公园绿地新建、改建、扩建项目中硬质铺装透水技术应用率≥60%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7</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立体绿化推广</w:t>
            </w:r>
          </w:p>
        </w:tc>
        <w:tc>
          <w:tcPr>
            <w:tcW w:w="960"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w:t>
            </w: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因地制宜制定立体绿化推广的鼓励政策、技术措施和实施方案，且实施效果明显。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8</w:t>
            </w:r>
          </w:p>
        </w:tc>
        <w:tc>
          <w:tcPr>
            <w:tcW w:w="2235" w:type="dxa"/>
            <w:vAlign w:val="center"/>
          </w:tcPr>
          <w:p>
            <w:pPr>
              <w:spacing w:line="300" w:lineRule="exact"/>
              <w:rPr>
                <w:rFonts w:hint="eastAsia" w:ascii="仿宋" w:hAnsi="仿宋" w:eastAsia="仿宋"/>
                <w:sz w:val="24"/>
              </w:rPr>
            </w:pPr>
            <w:r>
              <w:rPr>
                <w:rFonts w:hint="eastAsia" w:ascii="仿宋" w:hAnsi="仿宋" w:eastAsia="仿宋"/>
                <w:kern w:val="0"/>
                <w:sz w:val="24"/>
              </w:rPr>
              <w:t>公园绿地应急避险场所实施率(%)</w:t>
            </w:r>
          </w:p>
        </w:tc>
        <w:tc>
          <w:tcPr>
            <w:tcW w:w="960"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w:t>
            </w:r>
          </w:p>
          <w:p>
            <w:pPr>
              <w:spacing w:line="300" w:lineRule="exact"/>
              <w:jc w:val="center"/>
              <w:rPr>
                <w:rFonts w:hint="eastAsia" w:ascii="仿宋" w:hAnsi="仿宋" w:eastAsia="仿宋"/>
                <w:sz w:val="24"/>
              </w:rPr>
            </w:pPr>
            <w:r>
              <w:rPr>
                <w:rFonts w:hint="eastAsia" w:ascii="仿宋" w:hAnsi="仿宋" w:eastAsia="仿宋"/>
                <w:kern w:val="0"/>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kern w:val="0"/>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9</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z w:val="24"/>
              </w:rPr>
              <w:t>“其他绿地”控制</w:t>
            </w:r>
          </w:p>
        </w:tc>
        <w:tc>
          <w:tcPr>
            <w:tcW w:w="960" w:type="dxa"/>
            <w:vAlign w:val="center"/>
          </w:tcPr>
          <w:p>
            <w:pPr>
              <w:spacing w:line="300" w:lineRule="exact"/>
              <w:jc w:val="center"/>
              <w:rPr>
                <w:rFonts w:hint="eastAsia" w:ascii="仿宋" w:hAnsi="仿宋" w:eastAsia="仿宋"/>
                <w:kern w:val="0"/>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①生态绿地、风景林地、县城绿化隔离带等“其他绿地”得到有效保护和合理利用；</w:t>
            </w:r>
          </w:p>
          <w:p>
            <w:pPr>
              <w:spacing w:line="300" w:lineRule="exact"/>
              <w:rPr>
                <w:rFonts w:hint="eastAsia" w:ascii="仿宋" w:hAnsi="仿宋" w:eastAsia="仿宋"/>
                <w:sz w:val="24"/>
              </w:rPr>
            </w:pPr>
            <w:r>
              <w:rPr>
                <w:rFonts w:hint="eastAsia" w:ascii="仿宋" w:hAnsi="仿宋" w:eastAsia="仿宋"/>
                <w:sz w:val="24"/>
              </w:rPr>
              <w:t>②郊野公园规划建设合理、管理到位，并与建成区内公园绿地相得益彰；</w:t>
            </w:r>
          </w:p>
          <w:p>
            <w:pPr>
              <w:spacing w:line="300" w:lineRule="exact"/>
              <w:rPr>
                <w:rFonts w:hint="eastAsia" w:ascii="仿宋" w:hAnsi="仿宋" w:eastAsia="仿宋"/>
                <w:sz w:val="24"/>
              </w:rPr>
            </w:pPr>
            <w:r>
              <w:rPr>
                <w:rFonts w:hint="eastAsia" w:ascii="仿宋" w:hAnsi="仿宋" w:eastAsia="仿宋"/>
                <w:kern w:val="0"/>
                <w:sz w:val="24"/>
              </w:rPr>
              <w:t>③</w:t>
            </w:r>
            <w:r>
              <w:rPr>
                <w:rFonts w:hint="eastAsia" w:ascii="仿宋" w:hAnsi="仿宋" w:eastAsia="仿宋"/>
                <w:sz w:val="24"/>
              </w:rPr>
              <w:t>“其它绿地”（包括改建绿地、生态修复等）建设需统一规划、统一指导建设、统一监督管理，园林绿化主管部门负责全过程指导服务与跟踪监督，水利、交通、市政等各有关部门负责按规划和规范要求建设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10</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z w:val="24"/>
              </w:rPr>
              <w:t>生物防治推广率(%)</w:t>
            </w:r>
          </w:p>
        </w:tc>
        <w:tc>
          <w:tcPr>
            <w:tcW w:w="960" w:type="dxa"/>
            <w:vAlign w:val="center"/>
          </w:tcPr>
          <w:p>
            <w:pPr>
              <w:spacing w:line="300" w:lineRule="exact"/>
              <w:jc w:val="center"/>
              <w:rPr>
                <w:rFonts w:hint="eastAsia" w:ascii="仿宋" w:hAnsi="仿宋" w:eastAsia="仿宋"/>
                <w:w w:val="90"/>
                <w:sz w:val="24"/>
              </w:rPr>
            </w:pPr>
            <w:r>
              <w:rPr>
                <w:rFonts w:hint="eastAsia" w:ascii="仿宋" w:hAnsi="仿宋" w:eastAsia="仿宋"/>
                <w:w w:val="90"/>
                <w:sz w:val="24"/>
              </w:rPr>
              <w:t>*</w:t>
            </w:r>
          </w:p>
          <w:p>
            <w:pPr>
              <w:spacing w:line="300" w:lineRule="exact"/>
              <w:jc w:val="center"/>
              <w:rPr>
                <w:rFonts w:hint="eastAsia" w:ascii="仿宋" w:hAnsi="仿宋" w:eastAsia="仿宋"/>
                <w:kern w:val="0"/>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11</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水体岸线自然化率(%)</w:t>
            </w:r>
          </w:p>
        </w:tc>
        <w:tc>
          <w:tcPr>
            <w:tcW w:w="960"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12</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县域历史风貌保护</w:t>
            </w:r>
          </w:p>
        </w:tc>
        <w:tc>
          <w:tcPr>
            <w:tcW w:w="960" w:type="dxa"/>
            <w:vAlign w:val="center"/>
          </w:tcPr>
          <w:p>
            <w:pPr>
              <w:pStyle w:val="4"/>
              <w:spacing w:line="300" w:lineRule="exact"/>
              <w:ind w:firstLine="0" w:firstLineChars="0"/>
              <w:jc w:val="center"/>
              <w:rPr>
                <w:rFonts w:hint="eastAsia" w:ascii="仿宋" w:hAnsi="仿宋" w:eastAsia="仿宋"/>
                <w:sz w:val="24"/>
              </w:rPr>
            </w:pPr>
            <w:r>
              <w:rPr>
                <w:rFonts w:hint="eastAsia" w:ascii="仿宋" w:hAnsi="仿宋" w:eastAsia="仿宋"/>
                <w:sz w:val="24"/>
              </w:rPr>
              <w:t>考核范围为规划区范围</w:t>
            </w:r>
          </w:p>
        </w:tc>
        <w:tc>
          <w:tcPr>
            <w:tcW w:w="5434"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①制订县域内历史文化风貌保护规划及实施方案，并已获批准，实施效果良好；</w:t>
            </w:r>
          </w:p>
          <w:p>
            <w:pPr>
              <w:spacing w:line="300" w:lineRule="exact"/>
              <w:rPr>
                <w:rFonts w:hint="eastAsia" w:ascii="仿宋" w:hAnsi="仿宋" w:eastAsia="仿宋"/>
                <w:kern w:val="0"/>
                <w:sz w:val="24"/>
              </w:rPr>
            </w:pPr>
            <w:r>
              <w:rPr>
                <w:rFonts w:hint="eastAsia" w:ascii="仿宋" w:hAnsi="仿宋" w:eastAsia="仿宋"/>
                <w:kern w:val="0"/>
                <w:sz w:val="24"/>
              </w:rPr>
              <w:t>②县城发展历史印迹清晰，老县城形态保存基本完好，县城历史文化街区得到有效保护；</w:t>
            </w:r>
          </w:p>
          <w:p>
            <w:pPr>
              <w:spacing w:line="300" w:lineRule="exact"/>
              <w:rPr>
                <w:rFonts w:hint="eastAsia" w:ascii="仿宋" w:hAnsi="仿宋" w:eastAsia="仿宋"/>
                <w:kern w:val="0"/>
                <w:sz w:val="24"/>
              </w:rPr>
            </w:pPr>
            <w:r>
              <w:rPr>
                <w:rFonts w:hint="eastAsia" w:ascii="仿宋" w:hAnsi="仿宋" w:eastAsia="仿宋"/>
                <w:kern w:val="0"/>
                <w:sz w:val="24"/>
              </w:rPr>
              <w:t>③规划区内道路格局符合县城形态特征,尺度宜人,不盲目拓宽取直；</w:t>
            </w:r>
          </w:p>
          <w:p>
            <w:pPr>
              <w:spacing w:line="300" w:lineRule="exact"/>
              <w:rPr>
                <w:rFonts w:hint="eastAsia" w:ascii="仿宋" w:hAnsi="仿宋" w:eastAsia="仿宋"/>
                <w:sz w:val="24"/>
              </w:rPr>
            </w:pPr>
            <w:r>
              <w:rPr>
                <w:rFonts w:hint="eastAsia" w:ascii="仿宋" w:hAnsi="仿宋" w:eastAsia="仿宋"/>
                <w:kern w:val="0"/>
                <w:sz w:val="24"/>
              </w:rPr>
              <w:t>④不同历史发展阶段的代表性建筑保存完好，新建建筑具有地域特色和民族文化特征，风格协调统一。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13</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风景名胜区、文化与自然遗产保护与管理</w:t>
            </w:r>
          </w:p>
        </w:tc>
        <w:tc>
          <w:tcPr>
            <w:tcW w:w="960"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考核规划区设立风景名胜区的县城</w:t>
            </w:r>
          </w:p>
          <w:p>
            <w:pPr>
              <w:spacing w:line="300" w:lineRule="exact"/>
              <w:jc w:val="center"/>
              <w:rPr>
                <w:rFonts w:hint="eastAsia" w:ascii="仿宋" w:hAnsi="仿宋" w:eastAsia="仿宋"/>
                <w:kern w:val="0"/>
                <w:sz w:val="24"/>
              </w:rPr>
            </w:pPr>
          </w:p>
        </w:tc>
        <w:tc>
          <w:tcPr>
            <w:tcW w:w="5434" w:type="dxa"/>
            <w:vAlign w:val="center"/>
          </w:tcPr>
          <w:p>
            <w:pPr>
              <w:pStyle w:val="4"/>
              <w:spacing w:line="300" w:lineRule="exact"/>
              <w:ind w:firstLine="0" w:firstLineChars="0"/>
              <w:rPr>
                <w:rFonts w:hint="eastAsia" w:ascii="仿宋" w:hAnsi="仿宋" w:eastAsia="仿宋"/>
                <w:kern w:val="0"/>
                <w:sz w:val="24"/>
              </w:rPr>
            </w:pPr>
            <w:r>
              <w:rPr>
                <w:rFonts w:hint="eastAsia" w:ascii="仿宋" w:hAnsi="仿宋" w:eastAsia="仿宋"/>
                <w:kern w:val="0"/>
                <w:sz w:val="24"/>
              </w:rPr>
              <w:t>①依法设立风景名胜区管理机构，职能明确，并正常行使职能；</w:t>
            </w:r>
          </w:p>
          <w:p>
            <w:pPr>
              <w:pStyle w:val="4"/>
              <w:spacing w:line="300" w:lineRule="exact"/>
              <w:ind w:firstLine="0" w:firstLineChars="0"/>
              <w:rPr>
                <w:rFonts w:hint="eastAsia" w:ascii="仿宋" w:hAnsi="仿宋" w:eastAsia="仿宋"/>
                <w:kern w:val="0"/>
                <w:sz w:val="24"/>
              </w:rPr>
            </w:pPr>
            <w:r>
              <w:rPr>
                <w:rFonts w:hint="eastAsia" w:ascii="仿宋" w:hAnsi="仿宋" w:eastAsia="仿宋"/>
                <w:kern w:val="0"/>
                <w:sz w:val="24"/>
              </w:rPr>
              <w:t>②国家级、省级风景名胜区或列入世界遗产名录的文化或自然遗产严格依据《风景名胜区条例》和相关法律法规进行保护管理；</w:t>
            </w:r>
          </w:p>
          <w:p>
            <w:pPr>
              <w:pStyle w:val="4"/>
              <w:spacing w:line="300" w:lineRule="exact"/>
              <w:ind w:firstLine="0" w:firstLineChars="0"/>
              <w:rPr>
                <w:rFonts w:hint="eastAsia" w:ascii="仿宋" w:hAnsi="仿宋" w:eastAsia="仿宋"/>
                <w:kern w:val="0"/>
                <w:sz w:val="24"/>
              </w:rPr>
            </w:pPr>
            <w:r>
              <w:rPr>
                <w:rFonts w:hint="eastAsia" w:ascii="仿宋" w:hAnsi="仿宋" w:eastAsia="仿宋"/>
                <w:kern w:val="0"/>
                <w:sz w:val="24"/>
              </w:rPr>
              <w:t>③风景名胜区建设项目依法办理选址审批手续；</w:t>
            </w:r>
          </w:p>
          <w:p>
            <w:pPr>
              <w:spacing w:line="300" w:lineRule="exact"/>
              <w:rPr>
                <w:rFonts w:hint="eastAsia" w:ascii="仿宋" w:hAnsi="仿宋" w:eastAsia="仿宋"/>
                <w:sz w:val="24"/>
              </w:rPr>
            </w:pPr>
            <w:r>
              <w:rPr>
                <w:rFonts w:hint="eastAsia" w:ascii="仿宋" w:hAnsi="仿宋" w:eastAsia="仿宋"/>
                <w:kern w:val="0"/>
                <w:sz w:val="24"/>
              </w:rPr>
              <w:t>④近3年无违法违规建设行为发生，景区无因租用商业活动等导致景区受破坏情况。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3" w:hRule="atLeast"/>
        </w:trPr>
        <w:tc>
          <w:tcPr>
            <w:tcW w:w="744" w:type="dxa"/>
            <w:vMerge w:val="restart"/>
            <w:vAlign w:val="center"/>
          </w:tcPr>
          <w:p>
            <w:pPr>
              <w:spacing w:line="320" w:lineRule="exact"/>
              <w:jc w:val="center"/>
              <w:rPr>
                <w:rFonts w:ascii="仿宋" w:hAnsi="仿宋" w:eastAsia="仿宋"/>
                <w:kern w:val="0"/>
                <w:sz w:val="28"/>
              </w:rPr>
            </w:pPr>
          </w:p>
          <w:p>
            <w:pPr>
              <w:spacing w:line="320" w:lineRule="exact"/>
              <w:jc w:val="center"/>
              <w:rPr>
                <w:rFonts w:ascii="仿宋" w:hAnsi="仿宋" w:eastAsia="仿宋"/>
                <w:kern w:val="0"/>
                <w:sz w:val="28"/>
              </w:rPr>
            </w:pPr>
          </w:p>
          <w:p>
            <w:pPr>
              <w:spacing w:line="320" w:lineRule="exact"/>
              <w:jc w:val="center"/>
              <w:rPr>
                <w:rFonts w:ascii="仿宋" w:hAnsi="仿宋" w:eastAsia="仿宋"/>
                <w:kern w:val="0"/>
                <w:sz w:val="28"/>
              </w:rPr>
            </w:pPr>
          </w:p>
          <w:p>
            <w:pPr>
              <w:spacing w:line="320" w:lineRule="exact"/>
              <w:jc w:val="center"/>
              <w:rPr>
                <w:rFonts w:ascii="仿宋" w:hAnsi="仿宋" w:eastAsia="仿宋"/>
                <w:kern w:val="0"/>
                <w:sz w:val="28"/>
              </w:rPr>
            </w:pPr>
          </w:p>
          <w:p>
            <w:pPr>
              <w:spacing w:line="320" w:lineRule="exact"/>
              <w:jc w:val="center"/>
              <w:rPr>
                <w:rFonts w:hint="eastAsia" w:ascii="仿宋" w:hAnsi="仿宋" w:eastAsia="仿宋"/>
                <w:kern w:val="0"/>
                <w:sz w:val="28"/>
              </w:rPr>
            </w:pPr>
            <w:r>
              <w:rPr>
                <w:rFonts w:hint="eastAsia" w:ascii="仿宋" w:hAnsi="仿宋" w:eastAsia="仿宋"/>
                <w:kern w:val="0"/>
                <w:sz w:val="28"/>
              </w:rPr>
              <w:t>4</w:t>
            </w:r>
          </w:p>
          <w:p>
            <w:pPr>
              <w:spacing w:line="320" w:lineRule="exact"/>
              <w:jc w:val="center"/>
              <w:rPr>
                <w:rFonts w:hint="eastAsia" w:ascii="仿宋" w:hAnsi="仿宋" w:eastAsia="仿宋"/>
                <w:kern w:val="0"/>
                <w:sz w:val="28"/>
              </w:rPr>
            </w:pPr>
          </w:p>
          <w:p>
            <w:pPr>
              <w:spacing w:line="320" w:lineRule="exact"/>
              <w:jc w:val="center"/>
              <w:rPr>
                <w:rFonts w:ascii="仿宋" w:hAnsi="仿宋" w:eastAsia="仿宋"/>
                <w:kern w:val="0"/>
                <w:sz w:val="28"/>
              </w:rPr>
            </w:pPr>
            <w:r>
              <w:rPr>
                <w:rFonts w:hint="eastAsia" w:ascii="仿宋" w:hAnsi="仿宋" w:eastAsia="仿宋"/>
                <w:kern w:val="0"/>
                <w:sz w:val="28"/>
              </w:rPr>
              <w:t>生态环保</w:t>
            </w: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pacing w:val="8"/>
                <w:kern w:val="0"/>
                <w:sz w:val="24"/>
              </w:rPr>
              <w:t>自然生态保护</w:t>
            </w:r>
          </w:p>
        </w:tc>
        <w:tc>
          <w:tcPr>
            <w:tcW w:w="960" w:type="dxa"/>
            <w:vAlign w:val="center"/>
          </w:tcPr>
          <w:p>
            <w:pPr>
              <w:pStyle w:val="4"/>
              <w:spacing w:line="300" w:lineRule="exact"/>
              <w:ind w:firstLine="0" w:firstLineChars="0"/>
              <w:jc w:val="center"/>
              <w:rPr>
                <w:rFonts w:hint="eastAsia" w:ascii="仿宋" w:hAnsi="仿宋" w:eastAsia="仿宋"/>
                <w:sz w:val="24"/>
              </w:rPr>
            </w:pPr>
            <w:r>
              <w:rPr>
                <w:rFonts w:hint="eastAsia" w:ascii="仿宋" w:hAnsi="仿宋" w:eastAsia="仿宋"/>
                <w:sz w:val="24"/>
              </w:rPr>
              <w:t>考核范围为规划区范围</w:t>
            </w:r>
          </w:p>
          <w:p>
            <w:pPr>
              <w:spacing w:line="300" w:lineRule="exact"/>
              <w:jc w:val="center"/>
              <w:rPr>
                <w:rFonts w:hint="eastAsia" w:ascii="仿宋" w:hAnsi="仿宋" w:eastAsia="仿宋"/>
                <w:sz w:val="24"/>
              </w:rPr>
            </w:pPr>
          </w:p>
        </w:tc>
        <w:tc>
          <w:tcPr>
            <w:tcW w:w="5434" w:type="dxa"/>
            <w:vAlign w:val="center"/>
          </w:tcPr>
          <w:p>
            <w:pPr>
              <w:pStyle w:val="4"/>
              <w:spacing w:line="300" w:lineRule="exact"/>
              <w:ind w:firstLine="0" w:firstLineChars="0"/>
              <w:rPr>
                <w:rFonts w:hint="eastAsia" w:ascii="仿宋" w:hAnsi="仿宋" w:eastAsia="仿宋"/>
                <w:sz w:val="24"/>
              </w:rPr>
            </w:pPr>
            <w:r>
              <w:rPr>
                <w:rFonts w:hint="eastAsia" w:ascii="仿宋" w:hAnsi="仿宋" w:eastAsia="仿宋"/>
                <w:sz w:val="24"/>
              </w:rPr>
              <w:t>①县城原有自然生态系统得到有效保护，确保其原貌性、完整性；</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②县城水体生态保护良好，水体岸线绿化遵循生态学原则，自然河流水系无裁弯取直、筑坝截流、违法取砂等现象；</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③县城自然山体保护完好，无违法违规开山采石、取土以及随意推山取平等现象；</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④按照县城卫生、安全、防灾、环保等要求建设防护绿地；</w:t>
            </w:r>
          </w:p>
          <w:p>
            <w:pPr>
              <w:spacing w:line="300" w:lineRule="exact"/>
              <w:rPr>
                <w:rFonts w:hint="eastAsia" w:ascii="仿宋" w:hAnsi="仿宋" w:eastAsia="仿宋"/>
                <w:kern w:val="0"/>
                <w:sz w:val="24"/>
              </w:rPr>
            </w:pPr>
            <w:r>
              <w:rPr>
                <w:rFonts w:hint="eastAsia" w:ascii="仿宋" w:hAnsi="仿宋" w:eastAsia="仿宋"/>
                <w:sz w:val="24"/>
              </w:rPr>
              <w:t>⑤未发生破坏地形地貌、水体、山体、湿地及生物物种资源等情况。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年空气污染指数小于或等于100的天数（天）</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≥255天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3</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地表水Ⅳ类及以上水体比率(%)</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20" w:lineRule="exact"/>
              <w:jc w:val="center"/>
              <w:rPr>
                <w:rFonts w:hint="eastAsia" w:ascii="仿宋" w:hAnsi="仿宋" w:eastAsia="仿宋"/>
                <w:sz w:val="24"/>
              </w:rPr>
            </w:pPr>
            <w:r>
              <w:rPr>
                <w:rFonts w:hint="eastAsia" w:ascii="仿宋_GB2312" w:hAnsi="宋体" w:eastAsia="仿宋_GB2312"/>
                <w:sz w:val="24"/>
              </w:rPr>
              <w:t>≥</w:t>
            </w:r>
            <w:r>
              <w:rPr>
                <w:rFonts w:hint="eastAsia" w:ascii="仿宋_GB2312" w:hAnsi="宋体" w:eastAsia="仿宋_GB2312" w:cs="宋体"/>
                <w:kern w:val="0"/>
                <w:sz w:val="24"/>
              </w:rPr>
              <w:t>80%,且县区内无V类以下水体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4</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区域环境噪声平均值</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≤56.00dB(A)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9"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5</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生物多样性保护</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kern w:val="0"/>
                <w:sz w:val="24"/>
              </w:rPr>
            </w:pPr>
            <w:r>
              <w:rPr>
                <w:rFonts w:hint="eastAsia" w:ascii="仿宋" w:hAnsi="仿宋" w:eastAsia="仿宋"/>
                <w:sz w:val="24"/>
              </w:rPr>
              <w:t>考核范围为规划区范围</w:t>
            </w: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①已完成不小于县域范围的生物物种资源普查；</w:t>
            </w:r>
          </w:p>
          <w:p>
            <w:pPr>
              <w:spacing w:line="300" w:lineRule="exact"/>
              <w:rPr>
                <w:rFonts w:hint="eastAsia" w:ascii="仿宋" w:hAnsi="仿宋" w:eastAsia="仿宋"/>
                <w:sz w:val="24"/>
              </w:rPr>
            </w:pPr>
            <w:r>
              <w:rPr>
                <w:rFonts w:hint="eastAsia" w:ascii="仿宋" w:hAnsi="仿宋" w:eastAsia="仿宋"/>
                <w:sz w:val="24"/>
              </w:rPr>
              <w:t>②以生物物种普查为基础，编制《县域生物多样性保护规划》及《县域基调树种种植规划》和实施措施，或在《县城绿地系统规划》中有专篇；</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③生物物种总量保持合理增长，重要物种及其栖息地得到有效保护。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6</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z w:val="24"/>
              </w:rPr>
              <w:t>乡土、适生植物资源保护与应用</w:t>
            </w:r>
          </w:p>
        </w:tc>
        <w:tc>
          <w:tcPr>
            <w:tcW w:w="960"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w:t>
            </w:r>
          </w:p>
        </w:tc>
        <w:tc>
          <w:tcPr>
            <w:tcW w:w="5434" w:type="dxa"/>
            <w:vAlign w:val="center"/>
          </w:tcPr>
          <w:p>
            <w:pPr>
              <w:spacing w:line="300" w:lineRule="exact"/>
              <w:rPr>
                <w:rFonts w:hint="eastAsia" w:ascii="仿宋" w:hAnsi="仿宋" w:eastAsia="仿宋"/>
                <w:sz w:val="24"/>
              </w:rPr>
            </w:pPr>
            <w:r>
              <w:rPr>
                <w:rFonts w:hint="eastAsia" w:ascii="仿宋" w:hAnsi="仿宋" w:eastAsia="仿宋"/>
                <w:w w:val="90"/>
                <w:sz w:val="24"/>
              </w:rPr>
              <w:t>①</w:t>
            </w:r>
            <w:r>
              <w:rPr>
                <w:rFonts w:hint="eastAsia" w:ascii="仿宋" w:hAnsi="仿宋" w:eastAsia="仿宋"/>
                <w:sz w:val="24"/>
              </w:rPr>
              <w:t>结合风景名胜区、植物专类园、综合公园、生产苗圃等建立乡土、适生植物种质资源库，并开展相应的引种驯化和快速繁殖试验研究；</w:t>
            </w:r>
          </w:p>
          <w:p>
            <w:pPr>
              <w:spacing w:line="300" w:lineRule="exact"/>
              <w:rPr>
                <w:rFonts w:hint="eastAsia" w:ascii="仿宋" w:hAnsi="仿宋" w:eastAsia="仿宋"/>
                <w:sz w:val="24"/>
              </w:rPr>
            </w:pPr>
            <w:r>
              <w:rPr>
                <w:rFonts w:hint="eastAsia" w:ascii="仿宋" w:hAnsi="仿宋" w:eastAsia="仿宋"/>
                <w:w w:val="90"/>
                <w:sz w:val="24"/>
              </w:rPr>
              <w:t>②</w:t>
            </w:r>
            <w:r>
              <w:rPr>
                <w:rFonts w:hint="eastAsia" w:ascii="仿宋" w:hAnsi="仿宋" w:eastAsia="仿宋"/>
                <w:sz w:val="24"/>
              </w:rPr>
              <w:t>积极推广应用乡土及适生植物，在试验基础上推广应用自衍草花及宿根花卉等，丰富地被植物品种；</w:t>
            </w:r>
          </w:p>
          <w:p>
            <w:pPr>
              <w:spacing w:line="300" w:lineRule="exact"/>
              <w:rPr>
                <w:rFonts w:hint="eastAsia" w:ascii="仿宋" w:hAnsi="仿宋" w:eastAsia="仿宋"/>
                <w:sz w:val="24"/>
              </w:rPr>
            </w:pPr>
            <w:r>
              <w:rPr>
                <w:rFonts w:hint="eastAsia" w:ascii="仿宋" w:hAnsi="仿宋" w:eastAsia="仿宋"/>
                <w:w w:val="90"/>
                <w:sz w:val="24"/>
              </w:rPr>
              <w:t>③</w:t>
            </w:r>
            <w:r>
              <w:rPr>
                <w:rFonts w:hint="eastAsia" w:ascii="仿宋" w:hAnsi="仿宋" w:eastAsia="仿宋"/>
                <w:kern w:val="0"/>
                <w:sz w:val="24"/>
              </w:rPr>
              <w:t>本地木本植物指数</w:t>
            </w:r>
            <w:r>
              <w:rPr>
                <w:rFonts w:hint="eastAsia" w:ascii="仿宋" w:hAnsi="仿宋" w:eastAsia="仿宋"/>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7</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湿地资源保护</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r>
              <w:rPr>
                <w:rFonts w:hint="eastAsia" w:ascii="仿宋" w:hAnsi="仿宋" w:eastAsia="仿宋"/>
                <w:sz w:val="24"/>
              </w:rPr>
              <w:t>考核规划区内有湿地资源的县城</w:t>
            </w: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①已完成规划区内的湿地资源普查；</w:t>
            </w:r>
          </w:p>
          <w:p>
            <w:pPr>
              <w:spacing w:line="300" w:lineRule="exact"/>
              <w:rPr>
                <w:rFonts w:hint="eastAsia" w:ascii="仿宋" w:hAnsi="仿宋" w:eastAsia="仿宋"/>
                <w:sz w:val="24"/>
              </w:rPr>
            </w:pPr>
            <w:r>
              <w:rPr>
                <w:rFonts w:hint="eastAsia" w:ascii="仿宋" w:hAnsi="仿宋" w:eastAsia="仿宋"/>
                <w:sz w:val="24"/>
              </w:rPr>
              <w:t>②以湿地资源普查为基础，制定湿地资源保护规划和实施措施；</w:t>
            </w:r>
          </w:p>
          <w:p>
            <w:pPr>
              <w:spacing w:line="300" w:lineRule="exact"/>
              <w:rPr>
                <w:rFonts w:hint="eastAsia" w:ascii="仿宋" w:hAnsi="仿宋" w:eastAsia="仿宋"/>
                <w:sz w:val="24"/>
              </w:rPr>
            </w:pPr>
            <w:r>
              <w:rPr>
                <w:rFonts w:hint="eastAsia" w:ascii="仿宋" w:hAnsi="仿宋" w:eastAsia="仿宋"/>
                <w:sz w:val="24"/>
              </w:rPr>
              <w:t>③规划区内湿地资源保护管理责任明确，管理职能正常行使，资金保障到位。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Merge w:val="restart"/>
            <w:vAlign w:val="center"/>
          </w:tcPr>
          <w:p>
            <w:pPr>
              <w:spacing w:line="320" w:lineRule="exact"/>
              <w:jc w:val="center"/>
              <w:rPr>
                <w:rFonts w:hint="eastAsia" w:ascii="仿宋" w:hAnsi="仿宋" w:eastAsia="仿宋"/>
                <w:kern w:val="0"/>
                <w:sz w:val="28"/>
              </w:rPr>
            </w:pPr>
            <w:r>
              <w:rPr>
                <w:rFonts w:hint="eastAsia" w:ascii="仿宋" w:hAnsi="仿宋" w:eastAsia="仿宋"/>
                <w:kern w:val="0"/>
                <w:sz w:val="28"/>
              </w:rPr>
              <w:t>5</w:t>
            </w:r>
          </w:p>
          <w:p>
            <w:pPr>
              <w:spacing w:line="320" w:lineRule="exact"/>
              <w:jc w:val="center"/>
              <w:rPr>
                <w:rFonts w:ascii="仿宋" w:hAnsi="仿宋" w:eastAsia="仿宋"/>
                <w:kern w:val="0"/>
                <w:sz w:val="28"/>
              </w:rPr>
            </w:pPr>
            <w:r>
              <w:rPr>
                <w:rFonts w:hint="eastAsia" w:ascii="仿宋" w:hAnsi="仿宋" w:eastAsia="仿宋"/>
                <w:kern w:val="0"/>
                <w:sz w:val="28"/>
              </w:rPr>
              <w:t>节能减排</w:t>
            </w: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节能建筑比例(%)</w:t>
            </w:r>
          </w:p>
        </w:tc>
        <w:tc>
          <w:tcPr>
            <w:tcW w:w="960" w:type="dxa"/>
            <w:vAlign w:val="center"/>
          </w:tcPr>
          <w:p>
            <w:pPr>
              <w:spacing w:line="300" w:lineRule="exact"/>
              <w:rPr>
                <w:rFonts w:hint="eastAsia" w:ascii="仿宋" w:hAnsi="仿宋" w:eastAsia="仿宋"/>
                <w:kern w:val="0"/>
                <w:sz w:val="24"/>
              </w:rPr>
            </w:pPr>
          </w:p>
        </w:tc>
        <w:tc>
          <w:tcPr>
            <w:tcW w:w="5434" w:type="dxa"/>
            <w:vAlign w:val="center"/>
          </w:tcPr>
          <w:p>
            <w:pPr>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严寒及寒冷地区≥35%</w:t>
            </w:r>
          </w:p>
          <w:p>
            <w:pPr>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夏热冬冷及温和地区≥30%</w:t>
            </w:r>
          </w:p>
          <w:p>
            <w:pPr>
              <w:spacing w:line="300" w:lineRule="exact"/>
              <w:rPr>
                <w:rFonts w:hint="eastAsia" w:ascii="仿宋" w:hAnsi="仿宋" w:eastAsia="仿宋"/>
                <w:kern w:val="0"/>
                <w:sz w:val="24"/>
              </w:rPr>
            </w:pPr>
            <w:r>
              <w:rPr>
                <w:rFonts w:hint="eastAsia" w:ascii="仿宋_GB2312" w:hAnsi="宋体" w:eastAsia="仿宋_GB2312" w:cs="宋体"/>
                <w:kern w:val="0"/>
                <w:sz w:val="24"/>
              </w:rPr>
              <w:t>夏热冬暖地区≥25%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建筑节能标准执行率(%)</w:t>
            </w:r>
          </w:p>
        </w:tc>
        <w:tc>
          <w:tcPr>
            <w:tcW w:w="960" w:type="dxa"/>
            <w:vAlign w:val="center"/>
          </w:tcPr>
          <w:p>
            <w:pPr>
              <w:spacing w:line="300" w:lineRule="exact"/>
              <w:rPr>
                <w:rFonts w:hint="eastAsia" w:ascii="仿宋" w:hAnsi="仿宋" w:eastAsia="仿宋"/>
                <w:kern w:val="0"/>
                <w:sz w:val="24"/>
              </w:rPr>
            </w:pPr>
          </w:p>
        </w:tc>
        <w:tc>
          <w:tcPr>
            <w:tcW w:w="5434"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2013年后所建建筑设计和施工执行国家和省级节能标准执行率100%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3</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非常规水利用率(%)</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≥20%或年增长率≥5%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4</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工业废水排放达标率(%)</w:t>
            </w:r>
          </w:p>
        </w:tc>
        <w:tc>
          <w:tcPr>
            <w:tcW w:w="960" w:type="dxa"/>
            <w:vAlign w:val="center"/>
          </w:tcPr>
          <w:p>
            <w:pPr>
              <w:spacing w:line="300" w:lineRule="exact"/>
              <w:jc w:val="center"/>
              <w:rPr>
                <w:rFonts w:hint="eastAsia" w:ascii="仿宋" w:hAnsi="仿宋" w:eastAsia="仿宋"/>
                <w:kern w:val="0"/>
                <w:sz w:val="24"/>
              </w:rPr>
            </w:pPr>
          </w:p>
        </w:tc>
        <w:tc>
          <w:tcPr>
            <w:tcW w:w="5434"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44" w:type="dxa"/>
            <w:vMerge w:val="restart"/>
            <w:vAlign w:val="center"/>
          </w:tcPr>
          <w:p>
            <w:pPr>
              <w:spacing w:line="320" w:lineRule="exact"/>
              <w:jc w:val="center"/>
              <w:rPr>
                <w:rFonts w:ascii="仿宋" w:hAnsi="仿宋" w:eastAsia="仿宋"/>
                <w:kern w:val="0"/>
                <w:sz w:val="28"/>
              </w:rPr>
            </w:pPr>
          </w:p>
          <w:p>
            <w:pPr>
              <w:spacing w:line="320" w:lineRule="exact"/>
              <w:jc w:val="center"/>
              <w:rPr>
                <w:rFonts w:ascii="仿宋" w:hAnsi="仿宋" w:eastAsia="仿宋"/>
                <w:kern w:val="0"/>
                <w:sz w:val="28"/>
              </w:rPr>
            </w:pPr>
          </w:p>
          <w:p>
            <w:pPr>
              <w:spacing w:line="320" w:lineRule="exact"/>
              <w:jc w:val="center"/>
              <w:rPr>
                <w:rFonts w:hint="eastAsia" w:ascii="仿宋" w:hAnsi="仿宋" w:eastAsia="仿宋"/>
                <w:kern w:val="0"/>
                <w:sz w:val="28"/>
              </w:rPr>
            </w:pPr>
            <w:r>
              <w:rPr>
                <w:rFonts w:hint="eastAsia" w:ascii="仿宋" w:hAnsi="仿宋" w:eastAsia="仿宋"/>
                <w:kern w:val="0"/>
                <w:sz w:val="28"/>
              </w:rPr>
              <w:t>6</w:t>
            </w:r>
          </w:p>
          <w:p>
            <w:pPr>
              <w:spacing w:line="320" w:lineRule="exact"/>
              <w:jc w:val="center"/>
              <w:rPr>
                <w:rFonts w:ascii="仿宋" w:hAnsi="仿宋" w:eastAsia="仿宋"/>
                <w:kern w:val="0"/>
                <w:sz w:val="28"/>
              </w:rPr>
            </w:pPr>
          </w:p>
          <w:p>
            <w:pPr>
              <w:spacing w:line="320" w:lineRule="exact"/>
              <w:jc w:val="center"/>
              <w:rPr>
                <w:rFonts w:ascii="仿宋" w:hAnsi="仿宋" w:eastAsia="仿宋"/>
                <w:kern w:val="0"/>
                <w:sz w:val="28"/>
              </w:rPr>
            </w:pPr>
            <w:r>
              <w:rPr>
                <w:rFonts w:hint="eastAsia" w:ascii="仿宋" w:hAnsi="仿宋" w:eastAsia="仿宋"/>
                <w:kern w:val="0"/>
                <w:sz w:val="28"/>
              </w:rPr>
              <w:t>市政</w:t>
            </w:r>
          </w:p>
          <w:p>
            <w:pPr>
              <w:spacing w:line="320" w:lineRule="exact"/>
              <w:jc w:val="center"/>
              <w:rPr>
                <w:rFonts w:ascii="仿宋" w:hAnsi="仿宋" w:eastAsia="仿宋"/>
                <w:kern w:val="0"/>
                <w:sz w:val="28"/>
              </w:rPr>
            </w:pPr>
            <w:r>
              <w:rPr>
                <w:rFonts w:hint="eastAsia" w:ascii="仿宋" w:hAnsi="仿宋" w:eastAsia="仿宋"/>
                <w:kern w:val="0"/>
                <w:sz w:val="28"/>
              </w:rPr>
              <w:t>设施</w:t>
            </w: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z w:val="24"/>
              </w:rPr>
              <w:t>市容市貌</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pStyle w:val="4"/>
              <w:spacing w:line="300" w:lineRule="exact"/>
              <w:ind w:firstLine="0" w:firstLineChars="0"/>
              <w:rPr>
                <w:rFonts w:hint="eastAsia" w:ascii="仿宋" w:hAnsi="仿宋" w:eastAsia="仿宋"/>
                <w:sz w:val="24"/>
              </w:rPr>
            </w:pPr>
            <w:r>
              <w:rPr>
                <w:rFonts w:hint="eastAsia" w:ascii="仿宋" w:hAnsi="仿宋" w:eastAsia="仿宋"/>
                <w:kern w:val="0"/>
                <w:sz w:val="24"/>
              </w:rPr>
              <w:t>①</w:t>
            </w:r>
            <w:r>
              <w:rPr>
                <w:rFonts w:hint="eastAsia" w:ascii="仿宋" w:hAnsi="仿宋" w:eastAsia="仿宋"/>
                <w:sz w:val="24"/>
              </w:rPr>
              <w:t xml:space="preserve">建成区环境整洁有序，建（构）筑物、公共设施和广告设置等与周边环境相协调，无违章私搭乱建现象；居住小区和街道环卫保洁制度落实，无乱丢弃、乱张贴、乱排放等行为； </w:t>
            </w:r>
          </w:p>
          <w:p>
            <w:pPr>
              <w:pStyle w:val="4"/>
              <w:spacing w:line="300" w:lineRule="exact"/>
              <w:ind w:firstLine="0" w:firstLineChars="0"/>
              <w:rPr>
                <w:rFonts w:hint="eastAsia" w:ascii="仿宋" w:hAnsi="仿宋" w:eastAsia="仿宋"/>
                <w:sz w:val="24"/>
              </w:rPr>
            </w:pPr>
            <w:r>
              <w:rPr>
                <w:rFonts w:hint="eastAsia" w:ascii="仿宋" w:hAnsi="仿宋" w:eastAsia="仿宋"/>
                <w:sz w:val="24"/>
              </w:rPr>
              <w:t xml:space="preserve">②商业店铺：灯箱、广告、招牌、霓虹灯、门楼装璜、店面装饰等设置符合建设管理要求，无违规设摊、占道经营现象； </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③交通与停车管理：建成区交通安全管理有序，车辆停靠管理规范；</w:t>
            </w:r>
          </w:p>
          <w:p>
            <w:pPr>
              <w:spacing w:line="300" w:lineRule="exact"/>
              <w:rPr>
                <w:rFonts w:hint="eastAsia" w:ascii="仿宋" w:hAnsi="仿宋" w:eastAsia="仿宋"/>
                <w:sz w:val="24"/>
              </w:rPr>
            </w:pPr>
            <w:r>
              <w:rPr>
                <w:rFonts w:hint="eastAsia" w:ascii="仿宋" w:hAnsi="仿宋" w:eastAsia="仿宋"/>
                <w:sz w:val="24"/>
              </w:rPr>
              <w:t>④公厕数量达标，设置合理，管理到位。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44" w:type="dxa"/>
            <w:vMerge w:val="continue"/>
            <w:vAlign w:val="center"/>
          </w:tcPr>
          <w:p>
            <w:pPr>
              <w:spacing w:line="320" w:lineRule="exact"/>
              <w:jc w:val="center"/>
              <w:rPr>
                <w:rFonts w:hint="eastAsia" w:ascii="仿宋" w:hAnsi="仿宋" w:eastAsia="仿宋"/>
                <w:kern w:val="0"/>
                <w:sz w:val="24"/>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管网水检验项目合格率(%)</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7" w:hRule="atLeast"/>
        </w:trPr>
        <w:tc>
          <w:tcPr>
            <w:tcW w:w="744" w:type="dxa"/>
            <w:vMerge w:val="continue"/>
            <w:vAlign w:val="center"/>
          </w:tcPr>
          <w:p>
            <w:pPr>
              <w:spacing w:line="320" w:lineRule="exact"/>
              <w:jc w:val="center"/>
              <w:rPr>
                <w:rFonts w:hint="eastAsia" w:ascii="仿宋" w:hAnsi="仿宋" w:eastAsia="仿宋"/>
                <w:kern w:val="0"/>
                <w:sz w:val="24"/>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3</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城镇污水处理</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w:t>
            </w:r>
            <w:r>
              <w:rPr>
                <w:rFonts w:hint="eastAsia" w:ascii="仿宋" w:hAnsi="仿宋" w:eastAsia="仿宋"/>
                <w:kern w:val="0"/>
                <w:sz w:val="24"/>
              </w:rPr>
              <w:t>污水处理率</w:t>
            </w:r>
            <w:r>
              <w:rPr>
                <w:rFonts w:hint="eastAsia" w:ascii="仿宋" w:hAnsi="仿宋" w:eastAsia="仿宋"/>
                <w:sz w:val="24"/>
              </w:rPr>
              <w:t>≥80%，且不低于申报年全省县城平均值；</w:t>
            </w:r>
          </w:p>
          <w:p>
            <w:pPr>
              <w:spacing w:line="300" w:lineRule="exact"/>
              <w:rPr>
                <w:rFonts w:hint="eastAsia" w:ascii="仿宋" w:hAnsi="仿宋" w:eastAsia="仿宋"/>
                <w:sz w:val="24"/>
              </w:rPr>
            </w:pPr>
            <w:r>
              <w:rPr>
                <w:rFonts w:hint="eastAsia" w:ascii="仿宋" w:hAnsi="仿宋" w:eastAsia="仿宋"/>
                <w:kern w:val="0"/>
                <w:sz w:val="24"/>
              </w:rPr>
              <w:t>②</w:t>
            </w:r>
            <w:r>
              <w:rPr>
                <w:rFonts w:hint="eastAsia" w:ascii="仿宋" w:hAnsi="仿宋" w:eastAsia="仿宋"/>
                <w:sz w:val="24"/>
              </w:rPr>
              <w:t>有污泥无害化处理设施，污泥处理处置率≥40%；</w:t>
            </w:r>
          </w:p>
          <w:p>
            <w:pPr>
              <w:spacing w:line="300" w:lineRule="exact"/>
              <w:rPr>
                <w:rFonts w:hint="eastAsia" w:ascii="仿宋" w:hAnsi="仿宋" w:eastAsia="仿宋"/>
                <w:sz w:val="24"/>
              </w:rPr>
            </w:pPr>
            <w:r>
              <w:rPr>
                <w:rFonts w:hint="eastAsia" w:ascii="仿宋" w:hAnsi="仿宋" w:eastAsia="仿宋"/>
                <w:sz w:val="24"/>
              </w:rPr>
              <w:t>③城区旱季无直接向水体排污现象，年降雨量400mm以上的新建城区采用雨污分流建设，老城区有雨污分流改造计划。</w:t>
            </w:r>
          </w:p>
          <w:p>
            <w:pPr>
              <w:spacing w:line="300" w:lineRule="exact"/>
              <w:rPr>
                <w:rFonts w:hint="eastAsia" w:ascii="仿宋" w:hAnsi="仿宋" w:eastAsia="仿宋"/>
                <w:sz w:val="24"/>
              </w:rPr>
            </w:pPr>
            <w:r>
              <w:rPr>
                <w:rFonts w:hint="eastAsia" w:ascii="仿宋" w:hAnsi="仿宋" w:eastAsia="仿宋"/>
                <w:sz w:val="24"/>
              </w:rPr>
              <w:t>④污水处理厂按照“云南省城镇污水处理厂等级评价标准”进行了等级评价并达到Ⅲ级以上（含Ⅲ级）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trPr>
        <w:tc>
          <w:tcPr>
            <w:tcW w:w="744" w:type="dxa"/>
            <w:vMerge w:val="continue"/>
            <w:vAlign w:val="center"/>
          </w:tcPr>
          <w:p>
            <w:pPr>
              <w:spacing w:line="320" w:lineRule="exact"/>
              <w:jc w:val="center"/>
              <w:rPr>
                <w:rFonts w:ascii="仿宋" w:hAnsi="仿宋" w:eastAsia="仿宋"/>
                <w:kern w:val="0"/>
                <w:sz w:val="24"/>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4</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生活垃圾无害化处理</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r>
              <w:rPr>
                <w:rFonts w:hint="eastAsia" w:ascii="仿宋" w:hAnsi="仿宋" w:eastAsia="仿宋"/>
                <w:sz w:val="24"/>
              </w:rPr>
              <w:t>☆</w:t>
            </w: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①鼓励垃圾处理设施区域统筹规划、建设，协调发展，确保垃圾处理设施高效运行，生活垃圾无害化处理率≥90%；</w:t>
            </w:r>
          </w:p>
          <w:p>
            <w:pPr>
              <w:spacing w:line="300" w:lineRule="exact"/>
              <w:rPr>
                <w:rFonts w:hint="eastAsia" w:ascii="仿宋" w:hAnsi="仿宋" w:eastAsia="仿宋"/>
                <w:sz w:val="24"/>
              </w:rPr>
            </w:pPr>
            <w:r>
              <w:rPr>
                <w:rFonts w:hint="eastAsia" w:ascii="仿宋" w:hAnsi="仿宋" w:eastAsia="仿宋"/>
                <w:kern w:val="0"/>
                <w:sz w:val="24"/>
              </w:rPr>
              <w:t>②</w:t>
            </w:r>
            <w:r>
              <w:rPr>
                <w:rFonts w:hint="eastAsia" w:ascii="仿宋" w:hAnsi="仿宋" w:eastAsia="仿宋"/>
                <w:sz w:val="24"/>
              </w:rPr>
              <w:t>鼓励垃圾分类回收和资源化利用，在各类公开媒体、社区等积极开展垃圾分类宣传教育，并建立常态化宣传机制。</w:t>
            </w:r>
          </w:p>
          <w:p>
            <w:pPr>
              <w:spacing w:line="300" w:lineRule="exact"/>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3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③</w:t>
            </w:r>
            <w:r>
              <w:rPr>
                <w:rFonts w:ascii="仿宋" w:hAnsi="仿宋" w:eastAsia="仿宋"/>
                <w:sz w:val="24"/>
              </w:rPr>
              <w:fldChar w:fldCharType="end"/>
            </w:r>
            <w:r>
              <w:rPr>
                <w:rFonts w:hint="eastAsia" w:ascii="仿宋" w:hAnsi="仿宋" w:eastAsia="仿宋"/>
                <w:sz w:val="24"/>
              </w:rPr>
              <w:t>生活垃圾处理设施达到无害化等级评定</w:t>
            </w:r>
            <w:r>
              <w:rPr>
                <w:rFonts w:hint="eastAsia" w:ascii="仿宋_GB2312" w:hAnsi="宋体" w:eastAsia="仿宋_GB2312"/>
                <w:sz w:val="24"/>
              </w:rPr>
              <w:t>Ⅱ</w:t>
            </w:r>
            <w:r>
              <w:rPr>
                <w:rFonts w:hint="eastAsia" w:ascii="仿宋" w:hAnsi="仿宋" w:eastAsia="仿宋"/>
                <w:sz w:val="24"/>
              </w:rPr>
              <w:t>级以上（含</w:t>
            </w:r>
            <w:r>
              <w:rPr>
                <w:rFonts w:hint="eastAsia" w:ascii="仿宋_GB2312" w:hAnsi="宋体" w:eastAsia="仿宋_GB2312"/>
                <w:sz w:val="24"/>
              </w:rPr>
              <w:t>Ⅱ</w:t>
            </w:r>
            <w:r>
              <w:rPr>
                <w:rFonts w:hint="eastAsia" w:ascii="仿宋" w:hAnsi="仿宋" w:eastAsia="仿宋"/>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44" w:type="dxa"/>
            <w:vMerge w:val="continue"/>
            <w:vAlign w:val="center"/>
          </w:tcPr>
          <w:p>
            <w:pPr>
              <w:spacing w:line="320" w:lineRule="exact"/>
              <w:jc w:val="center"/>
              <w:rPr>
                <w:rFonts w:ascii="仿宋" w:hAnsi="仿宋" w:eastAsia="仿宋"/>
                <w:kern w:val="0"/>
                <w:sz w:val="24"/>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5</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公共供水用水普及率(%)</w:t>
            </w:r>
          </w:p>
        </w:tc>
        <w:tc>
          <w:tcPr>
            <w:tcW w:w="960" w:type="dxa"/>
            <w:vAlign w:val="center"/>
          </w:tcPr>
          <w:p>
            <w:pPr>
              <w:spacing w:line="300" w:lineRule="exact"/>
              <w:jc w:val="center"/>
              <w:rPr>
                <w:rFonts w:hint="eastAsia" w:ascii="仿宋" w:hAnsi="仿宋" w:eastAsia="仿宋"/>
                <w:kern w:val="0"/>
                <w:sz w:val="24"/>
              </w:rPr>
            </w:pPr>
          </w:p>
        </w:tc>
        <w:tc>
          <w:tcPr>
            <w:tcW w:w="5434"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44" w:type="dxa"/>
            <w:vMerge w:val="continue"/>
            <w:vAlign w:val="center"/>
          </w:tcPr>
          <w:p>
            <w:pPr>
              <w:spacing w:line="320" w:lineRule="exact"/>
              <w:jc w:val="center"/>
              <w:rPr>
                <w:rFonts w:ascii="仿宋" w:hAnsi="仿宋" w:eastAsia="仿宋"/>
                <w:kern w:val="0"/>
                <w:sz w:val="24"/>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6</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道路完好率(%)</w:t>
            </w:r>
          </w:p>
        </w:tc>
        <w:tc>
          <w:tcPr>
            <w:tcW w:w="960" w:type="dxa"/>
            <w:vAlign w:val="center"/>
          </w:tcPr>
          <w:p>
            <w:pPr>
              <w:spacing w:line="300" w:lineRule="exact"/>
              <w:jc w:val="center"/>
              <w:rPr>
                <w:rFonts w:hint="eastAsia" w:ascii="仿宋" w:hAnsi="仿宋" w:eastAsia="仿宋"/>
                <w:kern w:val="0"/>
                <w:sz w:val="24"/>
              </w:rPr>
            </w:pPr>
          </w:p>
        </w:tc>
        <w:tc>
          <w:tcPr>
            <w:tcW w:w="5434"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Merge w:val="continue"/>
            <w:vAlign w:val="center"/>
          </w:tcPr>
          <w:p>
            <w:pPr>
              <w:spacing w:line="320" w:lineRule="exact"/>
              <w:jc w:val="center"/>
              <w:rPr>
                <w:rFonts w:ascii="仿宋" w:hAnsi="仿宋" w:eastAsia="仿宋"/>
                <w:kern w:val="0"/>
                <w:sz w:val="24"/>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7</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市政基础设施安全运行</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pStyle w:val="4"/>
              <w:spacing w:line="300" w:lineRule="exact"/>
              <w:ind w:firstLine="0" w:firstLineChars="0"/>
              <w:rPr>
                <w:rFonts w:hint="eastAsia" w:ascii="仿宋" w:hAnsi="仿宋" w:eastAsia="仿宋"/>
                <w:sz w:val="24"/>
              </w:rPr>
            </w:pPr>
            <w:r>
              <w:rPr>
                <w:rFonts w:hint="eastAsia" w:ascii="仿宋" w:hAnsi="仿宋" w:eastAsia="仿宋"/>
                <w:sz w:val="24"/>
              </w:rPr>
              <w:t>①县城地下管网、道路桥梁等市政基础设施档案健全，并纳入数字化城镇管理体系；</w:t>
            </w:r>
          </w:p>
          <w:p>
            <w:pPr>
              <w:pStyle w:val="4"/>
              <w:spacing w:line="300" w:lineRule="exact"/>
              <w:ind w:firstLine="0" w:firstLineChars="0"/>
              <w:rPr>
                <w:rFonts w:hint="eastAsia" w:ascii="仿宋" w:hAnsi="仿宋" w:eastAsia="仿宋"/>
                <w:kern w:val="0"/>
                <w:sz w:val="24"/>
              </w:rPr>
            </w:pPr>
            <w:r>
              <w:rPr>
                <w:rFonts w:hint="eastAsia" w:ascii="仿宋" w:hAnsi="仿宋" w:eastAsia="仿宋"/>
                <w:sz w:val="24"/>
              </w:rPr>
              <w:t>②运行管理制度完善，监管到位，县城安全运行得到保障。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Merge w:val="continue"/>
            <w:vAlign w:val="center"/>
          </w:tcPr>
          <w:p>
            <w:pPr>
              <w:spacing w:line="320" w:lineRule="exact"/>
              <w:jc w:val="center"/>
              <w:rPr>
                <w:rFonts w:ascii="仿宋" w:hAnsi="仿宋" w:eastAsia="仿宋"/>
                <w:kern w:val="0"/>
                <w:sz w:val="24"/>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8</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无障碍设施建设</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建成区内主要道路、公园、公共建筑等公共场所设有无障碍设施，且使用与管理情况良好。</w:t>
            </w:r>
          </w:p>
        </w:tc>
      </w:tr>
    </w:tbl>
    <w:p>
      <w:pPr>
        <w:adjustRightInd w:val="0"/>
        <w:snapToGrid w:val="0"/>
        <w:spacing w:line="312" w:lineRule="auto"/>
        <w:ind w:left="840" w:hanging="840" w:hangingChars="350"/>
        <w:jc w:val="left"/>
        <w:rPr>
          <w:rFonts w:hint="eastAsia" w:ascii="仿宋" w:hAnsi="仿宋" w:eastAsia="仿宋"/>
          <w:sz w:val="24"/>
        </w:rPr>
      </w:pPr>
      <w:r>
        <w:rPr>
          <w:rFonts w:hint="eastAsia" w:ascii="仿宋" w:hAnsi="仿宋" w:eastAsia="仿宋"/>
          <w:sz w:val="24"/>
        </w:rPr>
        <w:t>注： 1.表格“备注”栏中标注有“*”的指标，其解释、计算方法和数据来源等请参考《城市园林绿化评价标准》（GB/T50563-2010）。</w:t>
      </w:r>
    </w:p>
    <w:p>
      <w:pPr>
        <w:adjustRightInd w:val="0"/>
        <w:snapToGrid w:val="0"/>
        <w:spacing w:line="312" w:lineRule="auto"/>
        <w:ind w:firstLine="600" w:firstLineChars="250"/>
        <w:jc w:val="left"/>
        <w:rPr>
          <w:rFonts w:hint="eastAsia" w:ascii="仿宋" w:hAnsi="仿宋" w:eastAsia="仿宋"/>
          <w:sz w:val="24"/>
        </w:rPr>
      </w:pPr>
      <w:r>
        <w:rPr>
          <w:rFonts w:hint="eastAsia" w:ascii="仿宋" w:hAnsi="仿宋" w:eastAsia="仿宋"/>
          <w:sz w:val="24"/>
        </w:rPr>
        <w:t>2.表格“备注”栏中标注有“▼”的指标，表示为否决项。</w:t>
      </w:r>
    </w:p>
    <w:p>
      <w:pPr>
        <w:adjustRightInd w:val="0"/>
        <w:snapToGrid w:val="0"/>
        <w:spacing w:line="312" w:lineRule="auto"/>
        <w:ind w:firstLine="600" w:firstLineChars="250"/>
        <w:jc w:val="left"/>
        <w:rPr>
          <w:rFonts w:hint="eastAsia" w:ascii="仿宋" w:hAnsi="仿宋" w:eastAsia="仿宋"/>
          <w:sz w:val="24"/>
        </w:rPr>
      </w:pPr>
      <w:r>
        <w:rPr>
          <w:rFonts w:hint="eastAsia" w:ascii="仿宋" w:hAnsi="仿宋" w:eastAsia="仿宋"/>
          <w:sz w:val="24"/>
        </w:rPr>
        <w:t>3.表格“备注”栏中标注有“☆”的指标，表示为加分项。</w:t>
      </w:r>
    </w:p>
    <w:p>
      <w:pPr>
        <w:adjustRightInd w:val="0"/>
        <w:snapToGrid w:val="0"/>
        <w:spacing w:line="312" w:lineRule="auto"/>
        <w:ind w:firstLine="600" w:firstLineChars="250"/>
        <w:jc w:val="left"/>
        <w:rPr>
          <w:rFonts w:hint="eastAsia" w:ascii="仿宋" w:hAnsi="仿宋" w:eastAsia="仿宋"/>
          <w:sz w:val="24"/>
        </w:rPr>
      </w:pPr>
      <w:r>
        <w:rPr>
          <w:rFonts w:hint="eastAsia" w:ascii="仿宋" w:hAnsi="仿宋" w:eastAsia="仿宋"/>
          <w:sz w:val="24"/>
        </w:rPr>
        <w:t>4.表格“备注”栏中未对考核范围作特殊说明的，考核范围为建成区。</w:t>
      </w:r>
    </w:p>
    <w:p>
      <w:pPr>
        <w:widowControl/>
        <w:adjustRightInd w:val="0"/>
        <w:snapToGrid w:val="0"/>
        <w:spacing w:line="312" w:lineRule="auto"/>
        <w:ind w:firstLine="704" w:firstLineChars="220"/>
        <w:jc w:val="left"/>
        <w:outlineLvl w:val="2"/>
        <w:rPr>
          <w:rFonts w:hint="eastAsia" w:ascii="方正黑体_GBK" w:hAnsi="黑体" w:eastAsia="方正黑体_GBK"/>
          <w:sz w:val="32"/>
        </w:rPr>
      </w:pPr>
      <w:r>
        <w:rPr>
          <w:rFonts w:hint="eastAsia" w:ascii="方正黑体_GBK" w:hAnsi="黑体" w:eastAsia="方正黑体_GBK"/>
          <w:sz w:val="32"/>
        </w:rPr>
        <w:t>二、云南省园林县城评选否决项</w:t>
      </w:r>
    </w:p>
    <w:p>
      <w:pPr>
        <w:adjustRightInd w:val="0"/>
        <w:snapToGrid w:val="0"/>
        <w:spacing w:line="312" w:lineRule="auto"/>
        <w:ind w:firstLine="660"/>
        <w:rPr>
          <w:rFonts w:eastAsia="方正仿宋_GBK"/>
          <w:sz w:val="32"/>
        </w:rPr>
      </w:pPr>
      <w:r>
        <w:rPr>
          <w:rFonts w:eastAsia="方正仿宋_GBK"/>
          <w:sz w:val="32"/>
        </w:rPr>
        <w:t>（一）尚未编制（或修编）完成县城绿地系统规划，或未按照《城市绿线管理办法》要求划定绿线，并在至少两种以上的公开媒体上向社会公布；</w:t>
      </w:r>
    </w:p>
    <w:p>
      <w:pPr>
        <w:adjustRightInd w:val="0"/>
        <w:snapToGrid w:val="0"/>
        <w:spacing w:line="312" w:lineRule="auto"/>
        <w:ind w:firstLine="660"/>
        <w:rPr>
          <w:rFonts w:eastAsia="方正仿宋_GBK"/>
          <w:sz w:val="32"/>
        </w:rPr>
      </w:pPr>
      <w:r>
        <w:rPr>
          <w:rFonts w:eastAsia="方正仿宋_GBK"/>
          <w:sz w:val="32"/>
        </w:rPr>
        <w:t>（二）建成区绿地率不达标；</w:t>
      </w:r>
    </w:p>
    <w:p>
      <w:pPr>
        <w:adjustRightInd w:val="0"/>
        <w:snapToGrid w:val="0"/>
        <w:spacing w:line="312" w:lineRule="auto"/>
        <w:ind w:firstLine="660"/>
        <w:rPr>
          <w:rFonts w:eastAsia="方正仿宋_GBK"/>
          <w:sz w:val="32"/>
        </w:rPr>
      </w:pPr>
      <w:r>
        <w:rPr>
          <w:rFonts w:eastAsia="方正仿宋_GBK"/>
          <w:sz w:val="32"/>
        </w:rPr>
        <w:t>（三）人均公园绿地面积不达标；</w:t>
      </w:r>
    </w:p>
    <w:p>
      <w:pPr>
        <w:adjustRightInd w:val="0"/>
        <w:snapToGrid w:val="0"/>
        <w:spacing w:line="312" w:lineRule="auto"/>
        <w:ind w:firstLine="660"/>
        <w:rPr>
          <w:rFonts w:eastAsia="方正仿宋_GBK"/>
          <w:sz w:val="32"/>
        </w:rPr>
      </w:pPr>
      <w:r>
        <w:rPr>
          <w:rFonts w:eastAsia="方正仿宋_GBK"/>
          <w:sz w:val="32"/>
        </w:rPr>
        <w:t>（四）污水处理率不达标；</w:t>
      </w:r>
    </w:p>
    <w:p>
      <w:pPr>
        <w:adjustRightInd w:val="0"/>
        <w:snapToGrid w:val="0"/>
        <w:spacing w:line="312" w:lineRule="auto"/>
        <w:ind w:firstLine="660"/>
        <w:rPr>
          <w:rFonts w:eastAsia="方正仿宋_GBK"/>
          <w:sz w:val="32"/>
        </w:rPr>
      </w:pPr>
      <w:r>
        <w:rPr>
          <w:rFonts w:eastAsia="方正仿宋_GBK"/>
          <w:sz w:val="32"/>
        </w:rPr>
        <w:t>（五）生活垃圾无害化处理率不达标。</w:t>
      </w:r>
    </w:p>
    <w:p>
      <w:pPr>
        <w:widowControl/>
        <w:adjustRightInd w:val="0"/>
        <w:snapToGrid w:val="0"/>
        <w:spacing w:line="312" w:lineRule="auto"/>
        <w:ind w:firstLine="704" w:firstLineChars="220"/>
        <w:jc w:val="left"/>
        <w:outlineLvl w:val="2"/>
        <w:rPr>
          <w:rFonts w:eastAsia="方正黑体_GBK"/>
          <w:sz w:val="32"/>
        </w:rPr>
      </w:pPr>
      <w:r>
        <w:rPr>
          <w:rFonts w:eastAsia="方正黑体_GBK"/>
          <w:sz w:val="32"/>
        </w:rPr>
        <w:t>三、指标解释</w:t>
      </w:r>
    </w:p>
    <w:p>
      <w:pPr>
        <w:adjustRightInd w:val="0"/>
        <w:snapToGrid w:val="0"/>
        <w:spacing w:line="312" w:lineRule="auto"/>
        <w:ind w:firstLine="640" w:firstLineChars="200"/>
        <w:rPr>
          <w:rFonts w:eastAsia="方正楷体_GBK"/>
          <w:kern w:val="0"/>
          <w:sz w:val="32"/>
        </w:rPr>
      </w:pPr>
      <w:r>
        <w:rPr>
          <w:rFonts w:eastAsia="方正楷体_GBK"/>
          <w:kern w:val="0"/>
          <w:sz w:val="32"/>
        </w:rPr>
        <w:t>（一）</w:t>
      </w:r>
      <w:r>
        <w:rPr>
          <w:rFonts w:eastAsia="方正楷体_GBK"/>
          <w:sz w:val="32"/>
        </w:rPr>
        <w:t>林荫路推广率</w:t>
      </w:r>
      <w:r>
        <w:rPr>
          <w:rFonts w:eastAsia="方正楷体_GBK"/>
          <w:kern w:val="0"/>
          <w:sz w:val="32"/>
        </w:rPr>
        <w:t>（%）</w:t>
      </w:r>
    </w:p>
    <w:p>
      <w:pPr>
        <w:adjustRightInd w:val="0"/>
        <w:snapToGrid w:val="0"/>
        <w:spacing w:line="312" w:lineRule="auto"/>
        <w:ind w:firstLine="640" w:firstLineChars="200"/>
        <w:rPr>
          <w:rFonts w:eastAsia="方正仿宋_GBK"/>
          <w:kern w:val="0"/>
          <w:sz w:val="32"/>
        </w:rPr>
      </w:pPr>
      <w:r>
        <w:rPr>
          <w:rFonts w:eastAsia="方正仿宋_GBK"/>
          <w:sz w:val="32"/>
        </w:rPr>
        <w:t>指标解释: 指县城达到林荫路标准的人行道、自行车道长度占人行道、自行车道总长度的百分比。林荫路指绿化覆盖率达到90%以上的人行道、自行车道。</w:t>
      </w:r>
    </w:p>
    <w:p>
      <w:pPr>
        <w:adjustRightInd w:val="0"/>
        <w:snapToGrid w:val="0"/>
        <w:spacing w:line="312" w:lineRule="auto"/>
        <w:ind w:firstLine="640" w:firstLineChars="200"/>
        <w:rPr>
          <w:rFonts w:eastAsia="方正仿宋_GBK"/>
          <w:kern w:val="0"/>
          <w:sz w:val="32"/>
        </w:rPr>
      </w:pPr>
      <w:r>
        <w:rPr>
          <w:rFonts w:eastAsia="方正仿宋_GBK"/>
          <w:sz w:val="32"/>
        </w:rPr>
        <w:t>计算方法:林荫路推广率=达到林荫路标准的人行道、自行车道长度（千米）÷人行道、自行车道总长度（千米）×100%</w:t>
      </w:r>
    </w:p>
    <w:p>
      <w:pPr>
        <w:adjustRightInd w:val="0"/>
        <w:snapToGrid w:val="0"/>
        <w:spacing w:line="312" w:lineRule="auto"/>
        <w:ind w:firstLine="640" w:firstLineChars="200"/>
        <w:rPr>
          <w:rFonts w:eastAsia="方正仿宋_GBK"/>
          <w:kern w:val="0"/>
          <w:sz w:val="32"/>
        </w:rPr>
      </w:pPr>
      <w:r>
        <w:rPr>
          <w:rFonts w:eastAsia="方正仿宋_GBK"/>
          <w:sz w:val="32"/>
        </w:rPr>
        <w:t>数据来源:</w:t>
      </w:r>
      <w:r>
        <w:rPr>
          <w:rFonts w:eastAsia="方正仿宋_GBK"/>
          <w:kern w:val="0"/>
          <w:sz w:val="32"/>
        </w:rPr>
        <w:t xml:space="preserve"> 城市建设（园林绿化）主管部门</w:t>
      </w:r>
    </w:p>
    <w:p>
      <w:pPr>
        <w:adjustRightInd w:val="0"/>
        <w:snapToGrid w:val="0"/>
        <w:spacing w:line="312" w:lineRule="auto"/>
        <w:ind w:firstLine="640" w:firstLineChars="200"/>
        <w:rPr>
          <w:rFonts w:hint="eastAsia" w:eastAsia="方正楷体_GBK"/>
          <w:kern w:val="0"/>
          <w:sz w:val="32"/>
          <w:szCs w:val="32"/>
        </w:rPr>
      </w:pPr>
      <w:r>
        <w:rPr>
          <w:rFonts w:hint="eastAsia" w:ascii="方正楷体_GBK" w:eastAsia="方正楷体_GBK"/>
          <w:kern w:val="0"/>
          <w:sz w:val="32"/>
        </w:rPr>
        <w:t>（二）新建、改建、扩建公园绿地中硬质铺装透水技术应用实施率</w:t>
      </w:r>
      <w:r>
        <w:rPr>
          <w:rFonts w:hint="eastAsia" w:eastAsia="方正楷体_GBK"/>
          <w:kern w:val="0"/>
          <w:sz w:val="32"/>
          <w:szCs w:val="32"/>
        </w:rPr>
        <w:t>（%）</w:t>
      </w:r>
    </w:p>
    <w:p>
      <w:pPr>
        <w:adjustRightInd w:val="0"/>
        <w:snapToGrid w:val="0"/>
        <w:spacing w:line="312" w:lineRule="auto"/>
        <w:ind w:firstLine="640" w:firstLineChars="200"/>
        <w:rPr>
          <w:rFonts w:eastAsia="方正仿宋_GBK"/>
          <w:kern w:val="0"/>
          <w:sz w:val="32"/>
        </w:rPr>
      </w:pPr>
      <w:r>
        <w:rPr>
          <w:rFonts w:eastAsia="方正仿宋_GBK"/>
          <w:sz w:val="32"/>
        </w:rPr>
        <w:t>指标解释：近三年新建、改建、扩建公园绿地中广场、游步道系统等采用了透水材料和透水结构的硬质铺装场地面积占铺装总面积的比率。</w:t>
      </w:r>
    </w:p>
    <w:p>
      <w:pPr>
        <w:adjustRightInd w:val="0"/>
        <w:snapToGrid w:val="0"/>
        <w:spacing w:line="312" w:lineRule="auto"/>
        <w:ind w:firstLine="640" w:firstLineChars="200"/>
        <w:rPr>
          <w:rFonts w:eastAsia="方正仿宋_GBK"/>
          <w:kern w:val="0"/>
          <w:sz w:val="32"/>
        </w:rPr>
      </w:pPr>
      <w:r>
        <w:rPr>
          <w:rFonts w:eastAsia="方正仿宋_GBK"/>
          <w:sz w:val="32"/>
        </w:rPr>
        <w:t>计算方法：新建、改建、扩建公园绿地中硬质铺装透水技术应用实施率=近三年新建、改建、扩建公园绿地中广场、游步道系统等采用了透水材料和透水结构的硬质铺装场地面积（公顷）÷近三年新建、改建、扩建公园绿地中铺装总面积（公顷）×100%</w:t>
      </w:r>
    </w:p>
    <w:p>
      <w:pPr>
        <w:adjustRightInd w:val="0"/>
        <w:snapToGrid w:val="0"/>
        <w:spacing w:line="312" w:lineRule="auto"/>
        <w:ind w:firstLine="640" w:firstLineChars="200"/>
        <w:rPr>
          <w:rFonts w:eastAsia="方正仿宋_GBK"/>
          <w:sz w:val="32"/>
        </w:rPr>
      </w:pPr>
      <w:r>
        <w:rPr>
          <w:rFonts w:eastAsia="方正仿宋_GBK"/>
          <w:sz w:val="32"/>
        </w:rPr>
        <w:t>数据来源：城市建设(园林绿化)主管部门</w:t>
      </w:r>
    </w:p>
    <w:p>
      <w:pPr>
        <w:adjustRightInd w:val="0"/>
        <w:snapToGrid w:val="0"/>
        <w:spacing w:line="312" w:lineRule="auto"/>
        <w:ind w:firstLine="640" w:firstLineChars="200"/>
        <w:rPr>
          <w:rFonts w:hint="eastAsia" w:ascii="方正楷体_GBK" w:eastAsia="方正楷体_GBK"/>
          <w:kern w:val="0"/>
          <w:sz w:val="32"/>
        </w:rPr>
      </w:pPr>
      <w:r>
        <w:rPr>
          <w:rFonts w:hint="eastAsia" w:ascii="方正楷体_GBK" w:eastAsia="方正楷体_GBK"/>
          <w:kern w:val="0"/>
          <w:sz w:val="32"/>
        </w:rPr>
        <w:t>（三）受损弃置地生态与景观恢复率（</w:t>
      </w:r>
      <w:r>
        <w:rPr>
          <w:rFonts w:eastAsia="方正楷体_GBK"/>
          <w:kern w:val="0"/>
          <w:sz w:val="32"/>
        </w:rPr>
        <w:t>%）</w:t>
      </w:r>
    </w:p>
    <w:p>
      <w:pPr>
        <w:adjustRightInd w:val="0"/>
        <w:snapToGrid w:val="0"/>
        <w:spacing w:line="312" w:lineRule="auto"/>
        <w:ind w:firstLine="640" w:firstLineChars="200"/>
        <w:rPr>
          <w:rFonts w:eastAsia="方正仿宋_GBK"/>
          <w:sz w:val="32"/>
        </w:rPr>
      </w:pPr>
      <w:r>
        <w:rPr>
          <w:rFonts w:eastAsia="方正仿宋_GBK"/>
          <w:kern w:val="0"/>
          <w:sz w:val="32"/>
        </w:rPr>
        <w:t>计算方法：</w:t>
      </w:r>
      <w:r>
        <w:rPr>
          <w:rFonts w:eastAsia="方正仿宋_GBK"/>
          <w:sz w:val="32"/>
        </w:rPr>
        <w:t>受损弃置地生态与景观恢复率=经过生态与景观恢复的受损弃置地面积（hm²）÷受损弃置地总面积（hm²）×100%</w:t>
      </w:r>
    </w:p>
    <w:p>
      <w:pPr>
        <w:adjustRightInd w:val="0"/>
        <w:snapToGrid w:val="0"/>
        <w:spacing w:line="300" w:lineRule="auto"/>
        <w:ind w:firstLine="640" w:firstLineChars="200"/>
        <w:rPr>
          <w:rFonts w:eastAsia="方正楷体_GBK"/>
          <w:kern w:val="0"/>
          <w:sz w:val="32"/>
          <w:szCs w:val="32"/>
        </w:rPr>
      </w:pPr>
      <w:r>
        <w:rPr>
          <w:rFonts w:hint="eastAsia" w:ascii="方正楷体_GBK" w:eastAsia="方正楷体_GBK"/>
          <w:kern w:val="0"/>
          <w:sz w:val="32"/>
        </w:rPr>
        <w:t>（四）</w:t>
      </w:r>
      <w:r>
        <w:rPr>
          <w:rFonts w:hint="eastAsia" w:ascii="方正楷体_GBK" w:eastAsia="方正楷体_GBK"/>
          <w:kern w:val="0"/>
          <w:sz w:val="32"/>
          <w:szCs w:val="32"/>
        </w:rPr>
        <w:t>节能建筑比例（</w:t>
      </w:r>
      <w:r>
        <w:rPr>
          <w:rFonts w:eastAsia="方正楷体_GBK"/>
          <w:kern w:val="0"/>
          <w:sz w:val="32"/>
          <w:szCs w:val="32"/>
        </w:rPr>
        <w:t>%）</w:t>
      </w:r>
    </w:p>
    <w:p>
      <w:pPr>
        <w:adjustRightInd w:val="0"/>
        <w:snapToGrid w:val="0"/>
        <w:spacing w:line="300" w:lineRule="auto"/>
        <w:ind w:firstLine="640" w:firstLineChars="200"/>
        <w:rPr>
          <w:rFonts w:eastAsia="方正仿宋_GBK"/>
          <w:kern w:val="0"/>
          <w:sz w:val="32"/>
          <w:szCs w:val="32"/>
        </w:rPr>
      </w:pPr>
      <w:r>
        <w:rPr>
          <w:rFonts w:eastAsia="方正仿宋_GBK"/>
          <w:kern w:val="0"/>
          <w:sz w:val="32"/>
          <w:szCs w:val="32"/>
        </w:rPr>
        <w:t>指标解释：指建成区内符合节能设计标准的建筑面积占建成区内总建筑面积的比例。</w:t>
      </w:r>
    </w:p>
    <w:p>
      <w:pPr>
        <w:adjustRightInd w:val="0"/>
        <w:snapToGrid w:val="0"/>
        <w:spacing w:line="300" w:lineRule="auto"/>
        <w:ind w:firstLine="640" w:firstLineChars="200"/>
        <w:rPr>
          <w:rFonts w:eastAsia="方正仿宋_GBK"/>
          <w:kern w:val="0"/>
          <w:sz w:val="32"/>
          <w:szCs w:val="32"/>
        </w:rPr>
      </w:pPr>
      <w:r>
        <w:rPr>
          <w:rFonts w:eastAsia="方正仿宋_GBK"/>
          <w:kern w:val="0"/>
          <w:sz w:val="32"/>
          <w:szCs w:val="32"/>
        </w:rPr>
        <w:t>计算方法：节能建筑比例=建成区内符合节能设计标准的建筑面积（平方米）÷建成区内建筑总面积（平方米）×100%</w:t>
      </w:r>
    </w:p>
    <w:p>
      <w:pPr>
        <w:adjustRightInd w:val="0"/>
        <w:snapToGrid w:val="0"/>
        <w:spacing w:line="300" w:lineRule="auto"/>
        <w:ind w:firstLine="640" w:firstLineChars="200"/>
        <w:rPr>
          <w:rFonts w:eastAsia="方正仿宋_GBK"/>
          <w:kern w:val="0"/>
          <w:sz w:val="32"/>
          <w:szCs w:val="32"/>
        </w:rPr>
      </w:pPr>
      <w:r>
        <w:rPr>
          <w:rFonts w:eastAsia="方正仿宋_GBK"/>
          <w:kern w:val="0"/>
          <w:sz w:val="32"/>
          <w:szCs w:val="32"/>
        </w:rPr>
        <w:t>数据来源：城市建设部门</w:t>
      </w:r>
    </w:p>
    <w:p>
      <w:pPr>
        <w:adjustRightInd w:val="0"/>
        <w:snapToGrid w:val="0"/>
        <w:spacing w:line="300" w:lineRule="auto"/>
        <w:ind w:firstLine="640" w:firstLineChars="200"/>
        <w:rPr>
          <w:rFonts w:eastAsia="方正楷体_GBK"/>
          <w:kern w:val="0"/>
          <w:sz w:val="32"/>
          <w:szCs w:val="32"/>
        </w:rPr>
      </w:pPr>
      <w:r>
        <w:rPr>
          <w:rFonts w:hint="eastAsia" w:ascii="方正楷体_GBK" w:eastAsia="方正楷体_GBK"/>
          <w:kern w:val="0"/>
          <w:sz w:val="32"/>
        </w:rPr>
        <w:t>（五）</w:t>
      </w:r>
      <w:r>
        <w:rPr>
          <w:rFonts w:hint="eastAsia" w:ascii="方正楷体_GBK" w:eastAsia="方正楷体_GBK"/>
          <w:kern w:val="0"/>
          <w:sz w:val="32"/>
          <w:szCs w:val="32"/>
        </w:rPr>
        <w:t>建筑节能标准执行率</w:t>
      </w:r>
      <w:r>
        <w:rPr>
          <w:rFonts w:eastAsia="方正楷体_GBK"/>
          <w:kern w:val="0"/>
          <w:sz w:val="32"/>
          <w:szCs w:val="32"/>
        </w:rPr>
        <w:t>(%)</w:t>
      </w:r>
    </w:p>
    <w:p>
      <w:pPr>
        <w:adjustRightInd w:val="0"/>
        <w:snapToGrid w:val="0"/>
        <w:spacing w:line="300" w:lineRule="auto"/>
        <w:ind w:firstLine="640" w:firstLineChars="200"/>
        <w:rPr>
          <w:rFonts w:eastAsia="方正仿宋_GBK"/>
          <w:kern w:val="0"/>
          <w:sz w:val="32"/>
          <w:szCs w:val="32"/>
        </w:rPr>
      </w:pPr>
      <w:r>
        <w:rPr>
          <w:rFonts w:eastAsia="方正仿宋_GBK"/>
          <w:sz w:val="32"/>
          <w:szCs w:val="32"/>
        </w:rPr>
        <w:t>指标解释：指建成区内2013年后所建建筑设计和施工执行国家和省级节能标准的执行率。</w:t>
      </w:r>
    </w:p>
    <w:p>
      <w:pPr>
        <w:adjustRightInd w:val="0"/>
        <w:snapToGrid w:val="0"/>
        <w:spacing w:line="312" w:lineRule="auto"/>
        <w:ind w:firstLine="640" w:firstLineChars="200"/>
        <w:rPr>
          <w:rFonts w:eastAsia="方正仿宋_GBK"/>
          <w:sz w:val="32"/>
        </w:rPr>
      </w:pPr>
      <w:r>
        <w:rPr>
          <w:rFonts w:eastAsia="方正仿宋_GBK"/>
          <w:sz w:val="32"/>
        </w:rPr>
        <w:t>数据来源：城市建设主管部门</w:t>
      </w:r>
    </w:p>
    <w:p>
      <w:pPr>
        <w:adjustRightInd w:val="0"/>
        <w:snapToGrid w:val="0"/>
        <w:spacing w:line="312" w:lineRule="auto"/>
        <w:ind w:firstLine="640" w:firstLineChars="200"/>
        <w:rPr>
          <w:rFonts w:hint="eastAsia" w:ascii="方正楷体_GBK" w:eastAsia="方正楷体_GBK"/>
          <w:kern w:val="0"/>
          <w:sz w:val="32"/>
        </w:rPr>
      </w:pPr>
      <w:r>
        <w:rPr>
          <w:rFonts w:hint="eastAsia" w:ascii="方正楷体_GBK" w:eastAsia="方正楷体_GBK"/>
          <w:kern w:val="0"/>
          <w:sz w:val="32"/>
        </w:rPr>
        <w:t>（六）非常规水利用率</w:t>
      </w:r>
      <w:r>
        <w:rPr>
          <w:rFonts w:eastAsia="方正楷体_GBK"/>
          <w:kern w:val="0"/>
          <w:sz w:val="32"/>
        </w:rPr>
        <w:t>（%）</w:t>
      </w:r>
    </w:p>
    <w:p>
      <w:pPr>
        <w:adjustRightInd w:val="0"/>
        <w:snapToGrid w:val="0"/>
        <w:spacing w:line="312" w:lineRule="auto"/>
        <w:ind w:firstLine="640" w:firstLineChars="200"/>
        <w:rPr>
          <w:rFonts w:eastAsia="方正仿宋_GBK"/>
          <w:sz w:val="32"/>
        </w:rPr>
      </w:pPr>
      <w:r>
        <w:rPr>
          <w:rFonts w:eastAsia="方正仿宋_GBK"/>
          <w:bCs/>
          <w:sz w:val="32"/>
        </w:rPr>
        <w:t>指标解释：</w:t>
      </w:r>
      <w:r>
        <w:rPr>
          <w:rFonts w:eastAsia="方正仿宋_GBK"/>
          <w:sz w:val="32"/>
        </w:rPr>
        <w:t>指再生水、雨水、海水、矿井水、苦咸水等非常规水资源利用总量与县城用水总量的比值。</w:t>
      </w:r>
    </w:p>
    <w:p>
      <w:pPr>
        <w:adjustRightInd w:val="0"/>
        <w:snapToGrid w:val="0"/>
        <w:spacing w:line="312" w:lineRule="auto"/>
        <w:ind w:firstLine="640" w:firstLineChars="200"/>
        <w:rPr>
          <w:rFonts w:eastAsia="方正仿宋_GBK"/>
          <w:sz w:val="32"/>
        </w:rPr>
      </w:pPr>
      <w:r>
        <w:rPr>
          <w:rFonts w:eastAsia="方正仿宋_GBK"/>
          <w:bCs/>
          <w:sz w:val="32"/>
        </w:rPr>
        <w:t>计算方法：</w:t>
      </w:r>
      <w:r>
        <w:rPr>
          <w:rFonts w:eastAsia="方正仿宋_GBK"/>
          <w:sz w:val="32"/>
        </w:rPr>
        <w:t>非常规水资源利用率=非常规水资源年使用量（万立方米）÷城市年总用水总量（万立方米）×100%</w:t>
      </w:r>
    </w:p>
    <w:p>
      <w:pPr>
        <w:adjustRightInd w:val="0"/>
        <w:snapToGrid w:val="0"/>
        <w:spacing w:line="312" w:lineRule="auto"/>
        <w:ind w:firstLine="640" w:firstLineChars="200"/>
        <w:rPr>
          <w:rFonts w:eastAsia="方正仿宋_GBK"/>
          <w:sz w:val="32"/>
        </w:rPr>
      </w:pPr>
      <w:r>
        <w:rPr>
          <w:rFonts w:eastAsia="方正仿宋_GBK"/>
          <w:sz w:val="32"/>
        </w:rPr>
        <w:t>县城再生水利用量是指污水经处理后出水水质达到相应水质标准的再生水，包括城市污水处理厂再生水和建筑中水用于工业、生态环境、市政杂用、园林绿化、农灌等方面的水量。不包括工业企业内部的回用水。</w:t>
      </w:r>
    </w:p>
    <w:p>
      <w:pPr>
        <w:adjustRightInd w:val="0"/>
        <w:snapToGrid w:val="0"/>
        <w:spacing w:line="312" w:lineRule="auto"/>
        <w:ind w:firstLine="640" w:firstLineChars="200"/>
        <w:rPr>
          <w:rFonts w:eastAsia="方正仿宋_GBK"/>
          <w:sz w:val="32"/>
        </w:rPr>
      </w:pPr>
      <w:r>
        <w:rPr>
          <w:rFonts w:eastAsia="方正仿宋_GBK"/>
          <w:sz w:val="32"/>
        </w:rPr>
        <w:t>县城雨水利用量是指经工程化收集与处理后达到相应水质标准的回用雨水量，包括回用于工业、生态环境、市政杂用、园林绿化、农灌等方面的水量。建筑与小区雨水回用量参照《民用建筑节水设计标准》（GB50555-2010）计算。</w:t>
      </w:r>
    </w:p>
    <w:p>
      <w:pPr>
        <w:adjustRightInd w:val="0"/>
        <w:snapToGrid w:val="0"/>
        <w:spacing w:line="312" w:lineRule="auto"/>
        <w:ind w:firstLine="640" w:firstLineChars="200"/>
        <w:rPr>
          <w:rFonts w:hint="eastAsia" w:ascii="方正仿宋_GBK" w:hAnsi="仿宋" w:eastAsia="方正仿宋_GBK"/>
          <w:sz w:val="32"/>
        </w:rPr>
      </w:pPr>
      <w:r>
        <w:rPr>
          <w:rFonts w:eastAsia="方正仿宋_GBK"/>
          <w:sz w:val="32"/>
        </w:rPr>
        <w:t>县城海水、矿井水、苦咸水利用量是指经处理后出水水质达到国家或地方相应水质标准并利用的海水、矿井水、苦咸水，包括回用于工业、生态环境、市政杂用、园林绿化、农灌等方面的水量。用于直流冷却的海水利用量，按其用水量的10%纳</w:t>
      </w:r>
      <w:r>
        <w:rPr>
          <w:rFonts w:hint="eastAsia" w:ascii="方正仿宋_GBK" w:hAnsi="仿宋" w:eastAsia="方正仿宋_GBK"/>
          <w:sz w:val="32"/>
        </w:rPr>
        <w:t>入非常规水资源利用总量。</w:t>
      </w:r>
    </w:p>
    <w:p>
      <w:pPr>
        <w:adjustRightInd w:val="0"/>
        <w:snapToGrid w:val="0"/>
        <w:spacing w:line="312" w:lineRule="auto"/>
        <w:ind w:firstLine="640" w:firstLineChars="200"/>
        <w:rPr>
          <w:rFonts w:eastAsia="方正仿宋_GBK"/>
          <w:sz w:val="32"/>
        </w:rPr>
      </w:pPr>
      <w:r>
        <w:rPr>
          <w:rFonts w:eastAsia="方正仿宋_GBK"/>
          <w:bCs/>
          <w:sz w:val="32"/>
        </w:rPr>
        <w:t>数据来源</w:t>
      </w:r>
      <w:r>
        <w:rPr>
          <w:rFonts w:eastAsia="方正仿宋_GBK"/>
          <w:sz w:val="32"/>
        </w:rPr>
        <w:t>：城市建设主管部门</w:t>
      </w:r>
    </w:p>
    <w:p>
      <w:pPr>
        <w:adjustRightInd w:val="0"/>
        <w:snapToGrid w:val="0"/>
        <w:spacing w:line="312" w:lineRule="auto"/>
        <w:ind w:firstLine="640" w:firstLineChars="200"/>
        <w:rPr>
          <w:rFonts w:eastAsia="方正仿宋_GBK"/>
          <w:kern w:val="0"/>
          <w:sz w:val="32"/>
        </w:rPr>
      </w:pPr>
      <w:r>
        <w:rPr>
          <w:rFonts w:hint="eastAsia" w:ascii="方正楷体_GBK" w:eastAsia="方正楷体_GBK"/>
          <w:kern w:val="0"/>
          <w:sz w:val="32"/>
        </w:rPr>
        <w:t>（七）县城工业废水排放达标率</w:t>
      </w:r>
      <w:r>
        <w:rPr>
          <w:rFonts w:eastAsia="方正仿宋_GBK"/>
          <w:kern w:val="0"/>
          <w:sz w:val="32"/>
        </w:rPr>
        <w:t>（%）</w:t>
      </w:r>
    </w:p>
    <w:p>
      <w:pPr>
        <w:adjustRightInd w:val="0"/>
        <w:snapToGrid w:val="0"/>
        <w:spacing w:line="312" w:lineRule="auto"/>
        <w:ind w:firstLine="640" w:firstLineChars="200"/>
        <w:rPr>
          <w:rFonts w:eastAsia="方正仿宋_GBK"/>
          <w:sz w:val="32"/>
        </w:rPr>
      </w:pPr>
      <w:r>
        <w:rPr>
          <w:rFonts w:eastAsia="方正仿宋_GBK"/>
          <w:sz w:val="32"/>
        </w:rPr>
        <w:t>指标解释：指县城工业废水排放达标量占县城工业废水排放量的百分比。</w:t>
      </w:r>
    </w:p>
    <w:p>
      <w:pPr>
        <w:adjustRightInd w:val="0"/>
        <w:snapToGrid w:val="0"/>
        <w:spacing w:line="312" w:lineRule="auto"/>
        <w:ind w:firstLine="640" w:firstLineChars="200"/>
        <w:rPr>
          <w:rFonts w:eastAsia="方正仿宋_GBK"/>
          <w:sz w:val="32"/>
        </w:rPr>
      </w:pPr>
      <w:r>
        <w:rPr>
          <w:rFonts w:eastAsia="方正仿宋_GBK"/>
          <w:sz w:val="32"/>
        </w:rPr>
        <w:t>计算方法：县城工业废水排放达标率=县城工业废水排放达标量（万吨）÷县城工业废水排放量（万吨）×100%</w:t>
      </w:r>
    </w:p>
    <w:p>
      <w:pPr>
        <w:adjustRightInd w:val="0"/>
        <w:snapToGrid w:val="0"/>
        <w:spacing w:line="312" w:lineRule="auto"/>
        <w:ind w:firstLine="640" w:firstLineChars="200"/>
        <w:rPr>
          <w:rFonts w:eastAsia="方正仿宋_GBK"/>
          <w:sz w:val="32"/>
        </w:rPr>
      </w:pPr>
      <w:r>
        <w:rPr>
          <w:rFonts w:eastAsia="方正仿宋_GBK"/>
          <w:sz w:val="32"/>
        </w:rPr>
        <w:t>数据来源：城市环境保护主管部门</w:t>
      </w:r>
    </w:p>
    <w:p>
      <w:pPr>
        <w:adjustRightInd w:val="0"/>
        <w:snapToGrid w:val="0"/>
        <w:spacing w:line="312" w:lineRule="auto"/>
        <w:ind w:firstLine="640" w:firstLineChars="200"/>
        <w:rPr>
          <w:rFonts w:eastAsia="方正仿宋_GBK"/>
          <w:kern w:val="0"/>
          <w:sz w:val="32"/>
        </w:rPr>
      </w:pPr>
      <w:r>
        <w:rPr>
          <w:rFonts w:hint="eastAsia" w:ascii="方正楷体_GBK" w:eastAsia="方正楷体_GBK"/>
          <w:kern w:val="0"/>
          <w:sz w:val="32"/>
        </w:rPr>
        <w:t>（八）公共供水用水普及率</w:t>
      </w:r>
      <w:r>
        <w:rPr>
          <w:rFonts w:eastAsia="方正仿宋_GBK"/>
          <w:kern w:val="0"/>
          <w:sz w:val="32"/>
        </w:rPr>
        <w:t>（%）</w:t>
      </w:r>
    </w:p>
    <w:p>
      <w:pPr>
        <w:adjustRightInd w:val="0"/>
        <w:snapToGrid w:val="0"/>
        <w:spacing w:line="312" w:lineRule="auto"/>
        <w:ind w:firstLine="640" w:firstLineChars="200"/>
        <w:rPr>
          <w:rFonts w:eastAsia="方正仿宋_GBK"/>
          <w:bCs/>
          <w:kern w:val="0"/>
          <w:sz w:val="32"/>
        </w:rPr>
      </w:pPr>
      <w:r>
        <w:rPr>
          <w:rFonts w:eastAsia="方正仿宋_GBK"/>
          <w:kern w:val="0"/>
          <w:sz w:val="32"/>
        </w:rPr>
        <w:t>指标解释：</w:t>
      </w:r>
      <w:r>
        <w:rPr>
          <w:rFonts w:eastAsia="方正仿宋_GBK"/>
          <w:bCs/>
          <w:kern w:val="0"/>
          <w:sz w:val="32"/>
        </w:rPr>
        <w:t>指县城使用公共供水的人口占县城人口和暂住人口总和的比率。公共供水指自来水供水企业以公共供水管道及其附属设施向单位和居民的生活、生产和其他各类建筑提供用水。县城人口和县城暂住人口参照《中国县城建设统计年鉴》。</w:t>
      </w:r>
    </w:p>
    <w:p>
      <w:pPr>
        <w:adjustRightInd w:val="0"/>
        <w:snapToGrid w:val="0"/>
        <w:spacing w:line="312" w:lineRule="auto"/>
        <w:ind w:firstLine="640" w:firstLineChars="200"/>
        <w:rPr>
          <w:rFonts w:eastAsia="方正仿宋_GBK"/>
          <w:bCs/>
          <w:kern w:val="0"/>
          <w:sz w:val="32"/>
        </w:rPr>
      </w:pPr>
      <w:r>
        <w:rPr>
          <w:rFonts w:eastAsia="方正仿宋_GBK"/>
          <w:kern w:val="0"/>
          <w:sz w:val="32"/>
        </w:rPr>
        <w:t>计算方法</w:t>
      </w:r>
      <w:r>
        <w:rPr>
          <w:rFonts w:eastAsia="方正仿宋_GBK"/>
          <w:bCs/>
          <w:kern w:val="0"/>
          <w:sz w:val="32"/>
        </w:rPr>
        <w:t>：公共供水用水普及率=城区使用公共供水人口（万人）</w:t>
      </w:r>
      <w:r>
        <w:rPr>
          <w:rFonts w:eastAsia="方正仿宋_GBK"/>
          <w:sz w:val="32"/>
        </w:rPr>
        <w:t>÷（县城人口+县城暂住人口）（万人）×100%</w:t>
      </w:r>
    </w:p>
    <w:p>
      <w:pPr>
        <w:adjustRightInd w:val="0"/>
        <w:snapToGrid w:val="0"/>
        <w:spacing w:line="312" w:lineRule="auto"/>
        <w:ind w:firstLine="640" w:firstLineChars="200"/>
        <w:rPr>
          <w:rFonts w:eastAsia="方正仿宋_GBK"/>
          <w:bCs/>
          <w:kern w:val="0"/>
          <w:sz w:val="32"/>
        </w:rPr>
      </w:pPr>
      <w:r>
        <w:rPr>
          <w:rFonts w:eastAsia="方正仿宋_GBK"/>
          <w:kern w:val="0"/>
          <w:sz w:val="32"/>
        </w:rPr>
        <w:t>数据来源：</w:t>
      </w:r>
      <w:r>
        <w:rPr>
          <w:rFonts w:eastAsia="方正仿宋_GBK"/>
          <w:sz w:val="32"/>
        </w:rPr>
        <w:t>城市建设主管部门</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D7EDD"/>
    <w:rsid w:val="3B2D7E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2016-08-23T08:31:00Z</dcterms:created>
  <dc:creator>think</dc:creator>
  <cp:lastModifiedBy>think</cp:lastModifiedBy>
  <dcterms:modified xsi:type="dcterms:W3CDTF">2016-08-23T08:32:01Z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